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116F7B7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B3488A">
        <w:rPr>
          <w:b/>
          <w:color w:val="000000" w:themeColor="text1"/>
          <w:szCs w:val="22"/>
        </w:rPr>
        <w:t>5</w:t>
      </w:r>
    </w:p>
    <w:p w14:paraId="14355C53" w14:textId="77777777" w:rsidR="007C3F95" w:rsidRDefault="007C3F95" w:rsidP="007C3F95">
      <w:pPr>
        <w:pBdr>
          <w:top w:val="single" w:sz="4" w:space="1" w:color="auto"/>
        </w:pBdr>
        <w:rPr>
          <w:sz w:val="20"/>
        </w:rPr>
      </w:pP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Default="0094566E">
      <w:pPr>
        <w:widowControl w:val="0"/>
        <w:tabs>
          <w:tab w:val="left" w:pos="0"/>
        </w:tabs>
        <w:spacing w:line="240" w:lineRule="auto"/>
        <w:jc w:val="both"/>
        <w:rPr>
          <w:b/>
          <w:sz w:val="20"/>
        </w:rPr>
      </w:pPr>
    </w:p>
    <w:p w14:paraId="62185EB9" w14:textId="77777777" w:rsidR="00574C4E" w:rsidRPr="005E77A9" w:rsidRDefault="00574C4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Default="00563DBA">
      <w:pPr>
        <w:spacing w:line="240" w:lineRule="auto"/>
        <w:rPr>
          <w:sz w:val="20"/>
        </w:rPr>
      </w:pPr>
    </w:p>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7AB7888" w14:textId="77777777" w:rsidR="00574C4E" w:rsidRDefault="00574C4E" w:rsidP="00B757CF">
      <w:pPr>
        <w:spacing w:line="240" w:lineRule="auto"/>
        <w:jc w:val="both"/>
        <w:rPr>
          <w:sz w:val="20"/>
        </w:rPr>
      </w:pPr>
    </w:p>
    <w:p w14:paraId="5A186A13" w14:textId="77777777" w:rsidR="00574C4E" w:rsidRDefault="00574C4E" w:rsidP="00B757CF">
      <w:pPr>
        <w:spacing w:line="240" w:lineRule="auto"/>
        <w:jc w:val="both"/>
        <w:rPr>
          <w:sz w:val="20"/>
        </w:rPr>
      </w:pPr>
    </w:p>
    <w:p w14:paraId="201D5306" w14:textId="77777777" w:rsidR="00574C4E" w:rsidRDefault="00574C4E" w:rsidP="00B757CF">
      <w:pPr>
        <w:spacing w:line="240" w:lineRule="auto"/>
        <w:jc w:val="both"/>
        <w:rPr>
          <w:sz w:val="20"/>
        </w:rPr>
      </w:pPr>
    </w:p>
    <w:p w14:paraId="3E19BEB4" w14:textId="77777777" w:rsidR="00574C4E" w:rsidRDefault="00574C4E" w:rsidP="00B757CF">
      <w:pPr>
        <w:spacing w:line="240" w:lineRule="auto"/>
        <w:jc w:val="both"/>
        <w:rPr>
          <w:sz w:val="20"/>
        </w:rPr>
      </w:pPr>
    </w:p>
    <w:p w14:paraId="674A3EE1" w14:textId="77777777" w:rsidR="00574C4E" w:rsidRDefault="00574C4E" w:rsidP="00B757CF">
      <w:pPr>
        <w:spacing w:line="240" w:lineRule="auto"/>
        <w:jc w:val="both"/>
        <w:rPr>
          <w:sz w:val="20"/>
        </w:rPr>
      </w:pPr>
    </w:p>
    <w:p w14:paraId="1347B08A" w14:textId="77777777" w:rsidR="00574C4E" w:rsidRDefault="00574C4E" w:rsidP="00B757CF">
      <w:pPr>
        <w:spacing w:line="240" w:lineRule="auto"/>
        <w:jc w:val="both"/>
        <w:rPr>
          <w:sz w:val="20"/>
        </w:rPr>
      </w:pPr>
    </w:p>
    <w:p w14:paraId="4BF1D330" w14:textId="77777777" w:rsidR="00574C4E" w:rsidRDefault="00574C4E" w:rsidP="00B757CF">
      <w:pPr>
        <w:spacing w:line="240" w:lineRule="auto"/>
        <w:jc w:val="both"/>
        <w:rPr>
          <w:sz w:val="20"/>
        </w:rPr>
      </w:pPr>
    </w:p>
    <w:p w14:paraId="010626B6" w14:textId="77777777" w:rsidR="00574C4E" w:rsidRDefault="00574C4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774"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851"/>
        <w:gridCol w:w="6662"/>
      </w:tblGrid>
      <w:tr w:rsidR="00574C4E" w:rsidRPr="00EB79F9" w14:paraId="18767B91"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574C4E" w:rsidRPr="00EB79F9" w:rsidRDefault="00574C4E"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574C4E" w:rsidRPr="00EB79F9" w:rsidRDefault="00574C4E"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574C4E" w:rsidRPr="00EB79F9" w:rsidRDefault="00574C4E"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B732883" w14:textId="77777777" w:rsidR="00574C4E" w:rsidRPr="00EB79F9" w:rsidRDefault="00574C4E" w:rsidP="00A568AE">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6662" w:type="dxa"/>
            <w:tcBorders>
              <w:top w:val="single" w:sz="8" w:space="0" w:color="000000"/>
              <w:left w:val="single" w:sz="8" w:space="0" w:color="000000"/>
              <w:bottom w:val="single" w:sz="8" w:space="0" w:color="000000"/>
              <w:right w:val="single" w:sz="8" w:space="0" w:color="000000"/>
            </w:tcBorders>
          </w:tcPr>
          <w:p w14:paraId="0BE62DC4" w14:textId="77777777" w:rsidR="00574C4E" w:rsidRPr="00EB79F9" w:rsidRDefault="00574C4E" w:rsidP="00A568AE">
            <w:pPr>
              <w:jc w:val="center"/>
              <w:rPr>
                <w:b/>
                <w:sz w:val="18"/>
                <w:szCs w:val="18"/>
              </w:rPr>
            </w:pPr>
            <w:r w:rsidRPr="00196100">
              <w:rPr>
                <w:b/>
                <w:color w:val="auto"/>
                <w:sz w:val="18"/>
                <w:szCs w:val="18"/>
              </w:rPr>
              <w:t>Vecné bremeno</w:t>
            </w:r>
          </w:p>
        </w:tc>
      </w:tr>
      <w:tr w:rsidR="00574C4E" w:rsidRPr="00EB79F9" w14:paraId="33235245"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574C4E" w:rsidRPr="00EB79F9" w:rsidRDefault="00574C4E"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574C4E" w:rsidRPr="00EB79F9" w:rsidRDefault="00574C4E"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574C4E" w:rsidRPr="00EB79F9" w:rsidRDefault="00574C4E" w:rsidP="00A568AE">
            <w:pPr>
              <w:jc w:val="center"/>
              <w:rPr>
                <w:sz w:val="20"/>
              </w:rPr>
            </w:pPr>
            <w:r>
              <w:rPr>
                <w:sz w:val="20"/>
              </w:rPr>
              <w:t>21 119</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84793FA" w14:textId="1A4FA3B3" w:rsidR="00574C4E" w:rsidRPr="00EB79F9" w:rsidRDefault="00B3488A" w:rsidP="00A568AE">
            <w:pPr>
              <w:jc w:val="center"/>
              <w:rPr>
                <w:sz w:val="20"/>
              </w:rPr>
            </w:pPr>
            <w:r>
              <w:rPr>
                <w:sz w:val="20"/>
              </w:rPr>
              <w:t>50</w:t>
            </w:r>
          </w:p>
        </w:tc>
        <w:tc>
          <w:tcPr>
            <w:tcW w:w="6662" w:type="dxa"/>
            <w:tcBorders>
              <w:top w:val="single" w:sz="8" w:space="0" w:color="000000"/>
              <w:left w:val="single" w:sz="8" w:space="0" w:color="000000"/>
              <w:bottom w:val="single" w:sz="8" w:space="0" w:color="000000"/>
              <w:right w:val="single" w:sz="8" w:space="0" w:color="000000"/>
            </w:tcBorders>
          </w:tcPr>
          <w:p w14:paraId="4D04D555" w14:textId="77777777" w:rsidR="00574C4E" w:rsidRPr="001662A2" w:rsidRDefault="00574C4E"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574C4E" w:rsidRPr="00EB79F9" w:rsidRDefault="00574C4E" w:rsidP="00A568AE">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1C18DDC6"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B3488A">
        <w:rPr>
          <w:color w:val="000000" w:themeColor="text1"/>
          <w:sz w:val="20"/>
        </w:rPr>
        <w:t>50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574F81A3"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 xml:space="preserve">.1, nie však skôr ako od </w:t>
      </w:r>
      <w:r w:rsidR="00B3488A">
        <w:rPr>
          <w:sz w:val="20"/>
        </w:rPr>
        <w:t>28</w:t>
      </w:r>
      <w:r w:rsidR="00574C4E">
        <w:rPr>
          <w:sz w:val="20"/>
        </w:rPr>
        <w:t>.</w:t>
      </w:r>
      <w:r w:rsidR="00B3488A">
        <w:rPr>
          <w:sz w:val="20"/>
        </w:rPr>
        <w:t>06</w:t>
      </w:r>
      <w:r w:rsidR="00574C4E">
        <w:rPr>
          <w:sz w:val="20"/>
        </w:rPr>
        <w:t>.202</w:t>
      </w:r>
      <w:r w:rsidR="00B3488A">
        <w:rPr>
          <w:sz w:val="20"/>
        </w:rPr>
        <w:t>5</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r>
      <w:r>
        <w:rPr>
          <w:rFonts w:ascii="Calibri" w:hAnsi="Calibri" w:cs="Calibri"/>
          <w:szCs w:val="22"/>
        </w:rPr>
        <w:lastRenderedPageBreak/>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AA18466"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E637C1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3488A">
        <w:rPr>
          <w:rFonts w:eastAsia="Times New Roman"/>
          <w:b/>
          <w:bCs/>
          <w:sz w:val="20"/>
        </w:rPr>
        <w:t>50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xml:space="preserve">+ </w:t>
      </w:r>
      <w:r w:rsidRPr="00574C4E">
        <w:rPr>
          <w:rFonts w:eastAsia="Times New Roman"/>
          <w:sz w:val="20"/>
        </w:rPr>
        <w:lastRenderedPageBreak/>
        <w:t>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38873D4E"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5F78FF98"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543A7E" w:rsidRPr="005D5CDC">
        <w:rPr>
          <w:b/>
          <w:bCs/>
          <w:color w:val="000000" w:themeColor="text1"/>
          <w:sz w:val="20"/>
        </w:rPr>
        <w:t>kauciu vo výške troch dvanástin (3/12) ročného Nájomného podľa bodu 5.1 tohto článku</w:t>
      </w:r>
      <w:r w:rsidR="00B3488A">
        <w:rPr>
          <w:b/>
          <w:bCs/>
          <w:color w:val="000000" w:themeColor="text1"/>
          <w:sz w:val="20"/>
        </w:rPr>
        <w:t>, min. 160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3D94B474"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357D3C" w:rsidRPr="00357D3C">
        <w:rPr>
          <w:sz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podľa tohto bodu sa Prenajímateľ zaväzuje písomne oznámiť Nájomcovi najneskôr do 31.3. príslušného kalendárneho roka. Prípadný rozdiel medzi dovtedy zaplateným a upraveným Nájomným 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229"/>
        <w:gridCol w:w="1985"/>
      </w:tblGrid>
      <w:tr w:rsidR="004A49E0" w:rsidRPr="005E77A9" w14:paraId="4476B2E5" w14:textId="77777777" w:rsidTr="00B3488A">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7229" w:type="dxa"/>
            <w:tcMar>
              <w:top w:w="100" w:type="dxa"/>
              <w:left w:w="100" w:type="dxa"/>
              <w:bottom w:w="100" w:type="dxa"/>
              <w:right w:w="100" w:type="dxa"/>
            </w:tcMar>
          </w:tcPr>
          <w:p w14:paraId="7C40D694"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B3488A">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7229"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489A112E" w:rsidR="004A49E0" w:rsidRPr="005E77A9" w:rsidRDefault="00B3488A" w:rsidP="00F05409">
            <w:pPr>
              <w:pStyle w:val="Normlny10"/>
              <w:spacing w:line="240" w:lineRule="auto"/>
              <w:ind w:left="100" w:right="240"/>
              <w:jc w:val="center"/>
              <w:outlineLvl w:val="2"/>
              <w:rPr>
                <w:color w:val="000000" w:themeColor="text1"/>
                <w:sz w:val="20"/>
                <w:szCs w:val="20"/>
              </w:rPr>
            </w:pPr>
            <w:r>
              <w:rPr>
                <w:rFonts w:eastAsia="Arial Unicode MS"/>
                <w:sz w:val="20"/>
                <w:szCs w:val="20"/>
              </w:rPr>
              <w:t xml:space="preserve">10,28 </w:t>
            </w:r>
            <w:r w:rsidR="004A49E0" w:rsidRPr="005407E1">
              <w:rPr>
                <w:color w:val="000000" w:themeColor="text1"/>
                <w:sz w:val="20"/>
                <w:szCs w:val="20"/>
              </w:rPr>
              <w:t>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B3488A">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7229"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B3488A">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7229"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B3488A">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7229"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B3488A">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5.</w:t>
            </w:r>
          </w:p>
        </w:tc>
        <w:tc>
          <w:tcPr>
            <w:tcW w:w="7229"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B3488A">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7229"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B3488A">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7229"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B3488A">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7229"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B3488A">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7229"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B3488A">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7229"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B3488A">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7229"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008DB0A"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7D7ED174"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B3488A" w:rsidRPr="00B3488A">
        <w:rPr>
          <w:sz w:val="20"/>
        </w:rPr>
        <w:t>Nájomca je povinný vypratať Predmet nájmu a vrátiť ho Prenajímateľovi v súlade s týmto článkom najneskôr k poslednému dňu trvania nájomného vzťahu. Ustanovenie bodu 4.5, čl. 4 tejto Zmluvy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na náklady a zodpovednosť Nájomcu, s čím Nájomca súhlasí. V takomto prípade nenesie Prenajímateľ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lastRenderedPageBreak/>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1B03DD54" w:rsidR="007F4454" w:rsidRDefault="007F4454" w:rsidP="007F4454">
      <w:pPr>
        <w:spacing w:line="233" w:lineRule="auto"/>
        <w:ind w:left="690" w:hanging="720"/>
        <w:jc w:val="both"/>
        <w:rPr>
          <w:sz w:val="20"/>
        </w:rPr>
      </w:pPr>
      <w:r w:rsidRPr="005407E1">
        <w:rPr>
          <w:b/>
          <w:sz w:val="20"/>
        </w:rPr>
        <w:t>10.6</w:t>
      </w:r>
      <w:r w:rsidRPr="005407E1">
        <w:rPr>
          <w:sz w:val="20"/>
        </w:rPr>
        <w:tab/>
      </w:r>
      <w:r w:rsidR="00357D3C" w:rsidRPr="00357D3C">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čl. 4 tejto Zmluvy, a to vo výške 20% z jednej dvanástiny ročného Nájomného dohodnutého v článku 5. tejto Zmluvy za každý aj len začatý kalendárny mesiac omeškania Nájomcu s vyprataním Predmetu nájmu a jeho vrátením Prenajímateľovi.</w:t>
      </w:r>
      <w:r w:rsidRPr="005407E1">
        <w:rPr>
          <w:sz w:val="20"/>
        </w:rPr>
        <w:t xml:space="preserve">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w:t>
      </w:r>
      <w:r w:rsidRPr="00EC7CBF">
        <w:rPr>
          <w:sz w:val="20"/>
          <w:szCs w:val="20"/>
        </w:rPr>
        <w:lastRenderedPageBreak/>
        <w:t>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lastRenderedPageBreak/>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B3488A">
      <w:footerReference w:type="default" r:id="rId12"/>
      <w:pgSz w:w="12240" w:h="15840"/>
      <w:pgMar w:top="1440" w:right="758"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34DE" w14:textId="77777777" w:rsidR="00395000" w:rsidRDefault="00395000">
      <w:pPr>
        <w:spacing w:line="240" w:lineRule="auto"/>
      </w:pPr>
      <w:r>
        <w:separator/>
      </w:r>
    </w:p>
  </w:endnote>
  <w:endnote w:type="continuationSeparator" w:id="0">
    <w:p w14:paraId="441C22F2" w14:textId="77777777" w:rsidR="00395000" w:rsidRDefault="00395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6EA2B93C"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D5254">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9F01" w14:textId="77777777" w:rsidR="00395000" w:rsidRDefault="00395000">
      <w:pPr>
        <w:spacing w:line="240" w:lineRule="auto"/>
      </w:pPr>
      <w:r>
        <w:separator/>
      </w:r>
    </w:p>
  </w:footnote>
  <w:footnote w:type="continuationSeparator" w:id="0">
    <w:p w14:paraId="25ABEEF7" w14:textId="77777777" w:rsidR="00395000" w:rsidRDefault="003950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3263"/>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1F6C"/>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E784E"/>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57D3C"/>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000"/>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0F4E"/>
    <w:rsid w:val="005418E3"/>
    <w:rsid w:val="00543A7E"/>
    <w:rsid w:val="00547DA4"/>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48"/>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0A57"/>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3488A"/>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2DE3"/>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5254"/>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6057</Words>
  <Characters>34531</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2025-01-23T15:08:00Z</dcterms:created>
  <dcterms:modified xsi:type="dcterms:W3CDTF">2025-01-23T15:08:00Z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