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8262" w14:textId="77777777" w:rsidR="00773624" w:rsidRDefault="00773624" w:rsidP="00183153">
      <w:pPr>
        <w:pStyle w:val="Default"/>
        <w:jc w:val="center"/>
        <w:rPr>
          <w:rFonts w:asciiTheme="minorHAnsi" w:hAnsiTheme="minorHAnsi" w:cstheme="minorHAnsi"/>
          <w:b/>
        </w:rPr>
      </w:pPr>
    </w:p>
    <w:p w14:paraId="26BB1FE7" w14:textId="2845949D" w:rsidR="00777EEE" w:rsidRPr="009A4D42" w:rsidRDefault="00777EEE" w:rsidP="00183153">
      <w:pPr>
        <w:pStyle w:val="Default"/>
        <w:jc w:val="center"/>
        <w:rPr>
          <w:rFonts w:asciiTheme="minorHAnsi" w:hAnsiTheme="minorHAnsi" w:cstheme="minorHAnsi"/>
          <w:b/>
        </w:rPr>
      </w:pPr>
      <w:r w:rsidRPr="009A4D42">
        <w:rPr>
          <w:rFonts w:asciiTheme="minorHAnsi" w:hAnsiTheme="minorHAnsi" w:cstheme="minorHAnsi"/>
          <w:b/>
        </w:rPr>
        <w:t>Kúpna zmluva</w:t>
      </w:r>
    </w:p>
    <w:p w14:paraId="73C3B210" w14:textId="77777777" w:rsidR="00777EEE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uzavretá podľa § 409 a </w:t>
      </w:r>
      <w:proofErr w:type="spellStart"/>
      <w:r w:rsidRPr="009A4D42">
        <w:rPr>
          <w:rFonts w:asciiTheme="minorHAnsi" w:hAnsiTheme="minorHAnsi" w:cstheme="minorHAnsi"/>
          <w:bCs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bCs/>
          <w:sz w:val="22"/>
          <w:szCs w:val="22"/>
        </w:rPr>
        <w:t>. zákona č. 513/1991 Zb. Obchodný zákonník</w:t>
      </w:r>
    </w:p>
    <w:p w14:paraId="180A0E6C" w14:textId="77777777" w:rsidR="00640EAB" w:rsidRDefault="00777EEE" w:rsidP="009A4D4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v znení neskorších predpisov  </w:t>
      </w:r>
      <w:r w:rsidR="009A4D42" w:rsidRPr="009A4D42">
        <w:rPr>
          <w:rFonts w:asciiTheme="minorHAnsi" w:hAnsiTheme="minorHAnsi" w:cstheme="minorHAnsi"/>
          <w:sz w:val="22"/>
          <w:szCs w:val="22"/>
        </w:rPr>
        <w:t xml:space="preserve">a v zmysle výzvy na predloženie ponuky pre zákazku s názvom </w:t>
      </w:r>
    </w:p>
    <w:p w14:paraId="3DDF0273" w14:textId="277E7C4A" w:rsidR="009A4D42" w:rsidRPr="009A4D42" w:rsidRDefault="009A4D42" w:rsidP="009A4D4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„</w:t>
      </w:r>
      <w:r w:rsidR="00587A41" w:rsidRPr="00587A41">
        <w:rPr>
          <w:rFonts w:ascii="Calibri" w:hAnsi="Calibri"/>
          <w:color w:val="000000"/>
        </w:rPr>
        <w:t>Vybavenie pre ŽV</w:t>
      </w:r>
      <w:r w:rsidRPr="009A4D42">
        <w:rPr>
          <w:rFonts w:asciiTheme="minorHAnsi" w:hAnsiTheme="minorHAnsi" w:cstheme="minorHAnsi"/>
          <w:sz w:val="22"/>
          <w:szCs w:val="22"/>
        </w:rPr>
        <w:t>“.</w:t>
      </w:r>
    </w:p>
    <w:p w14:paraId="35930527" w14:textId="2F6DCF9E" w:rsidR="00777EEE" w:rsidRPr="009A4D42" w:rsidRDefault="00777EEE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9A4D42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9A4D42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8247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C036F0B" w14:textId="2376175A" w:rsidR="00A0055B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A4D42">
        <w:rPr>
          <w:rFonts w:asciiTheme="minorHAnsi" w:hAnsiTheme="minorHAnsi" w:cstheme="minorHAnsi"/>
          <w:b/>
          <w:bCs/>
          <w:sz w:val="22"/>
          <w:szCs w:val="22"/>
        </w:rPr>
        <w:t>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F7AC9" w:rsidRPr="000F7AC9">
        <w:rPr>
          <w:rFonts w:asciiTheme="minorHAnsi" w:hAnsiTheme="minorHAnsi" w:cstheme="minorHAnsi"/>
          <w:b/>
          <w:bCs/>
          <w:sz w:val="22"/>
          <w:szCs w:val="22"/>
        </w:rPr>
        <w:t>dITcom</w:t>
      </w:r>
      <w:proofErr w:type="spellEnd"/>
      <w:r w:rsidR="000F7AC9" w:rsidRPr="000F7AC9">
        <w:rPr>
          <w:rFonts w:asciiTheme="minorHAnsi" w:hAnsiTheme="minorHAnsi" w:cstheme="minorHAnsi"/>
          <w:b/>
          <w:bCs/>
          <w:sz w:val="22"/>
          <w:szCs w:val="22"/>
        </w:rPr>
        <w:t xml:space="preserve"> spol. s </w:t>
      </w:r>
      <w:proofErr w:type="spellStart"/>
      <w:r w:rsidR="000F7AC9" w:rsidRPr="000F7AC9">
        <w:rPr>
          <w:rFonts w:asciiTheme="minorHAnsi" w:hAnsiTheme="minorHAnsi" w:cstheme="minorHAnsi"/>
          <w:b/>
          <w:bCs/>
          <w:sz w:val="22"/>
          <w:szCs w:val="22"/>
        </w:rPr>
        <w:t>r.o</w:t>
      </w:r>
      <w:proofErr w:type="spellEnd"/>
      <w:r w:rsidR="000F7AC9" w:rsidRPr="000F7AC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1D33AF0" w14:textId="7C43E926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 w:rsidR="009A4D42">
        <w:rPr>
          <w:rFonts w:asciiTheme="minorHAnsi" w:hAnsiTheme="minorHAnsi" w:cstheme="minorHAnsi"/>
          <w:sz w:val="22"/>
          <w:szCs w:val="22"/>
        </w:rPr>
        <w:tab/>
      </w:r>
      <w:r w:rsidR="000F7AC9" w:rsidRPr="000F7AC9">
        <w:rPr>
          <w:rFonts w:asciiTheme="minorHAnsi" w:hAnsiTheme="minorHAnsi" w:cstheme="minorHAnsi"/>
          <w:sz w:val="22"/>
          <w:szCs w:val="22"/>
        </w:rPr>
        <w:t>Hraničná 2, 040 17 Košice</w:t>
      </w:r>
    </w:p>
    <w:p w14:paraId="55EF81DF" w14:textId="2F40F056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IČO: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0F7AC9" w:rsidRPr="000F7AC9">
        <w:rPr>
          <w:rFonts w:asciiTheme="minorHAnsi" w:hAnsiTheme="minorHAnsi" w:cstheme="minorHAnsi"/>
          <w:sz w:val="22"/>
          <w:szCs w:val="22"/>
        </w:rPr>
        <w:t>36596167</w:t>
      </w:r>
    </w:p>
    <w:p w14:paraId="60562EF6" w14:textId="1D288C3D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>DIČ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0F7AC9" w:rsidRPr="000F7AC9">
        <w:rPr>
          <w:rFonts w:asciiTheme="minorHAnsi" w:hAnsiTheme="minorHAnsi" w:cstheme="minorHAnsi"/>
          <w:sz w:val="22"/>
          <w:szCs w:val="22"/>
        </w:rPr>
        <w:t>2022039217</w:t>
      </w:r>
    </w:p>
    <w:p w14:paraId="6554833C" w14:textId="5D2E176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 DPH: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A0055B">
        <w:rPr>
          <w:rFonts w:asciiTheme="minorHAnsi" w:hAnsiTheme="minorHAnsi" w:cstheme="minorHAnsi"/>
          <w:sz w:val="22"/>
          <w:szCs w:val="22"/>
        </w:rPr>
        <w:t>SK</w:t>
      </w:r>
      <w:r w:rsidR="000F7AC9" w:rsidRPr="000F7AC9">
        <w:rPr>
          <w:rFonts w:asciiTheme="minorHAnsi" w:hAnsiTheme="minorHAnsi" w:cstheme="minorHAnsi"/>
          <w:sz w:val="22"/>
          <w:szCs w:val="22"/>
        </w:rPr>
        <w:t>2022039217</w:t>
      </w:r>
    </w:p>
    <w:p w14:paraId="763B75E7" w14:textId="3FC7E7C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IBAN: 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BFAA90F" w14:textId="401B90A8" w:rsidR="009A4D42" w:rsidRPr="009A4D42" w:rsidRDefault="009A4D42" w:rsidP="009A4D42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A0055B" w:rsidRPr="00A0055B">
        <w:rPr>
          <w:rFonts w:asciiTheme="minorHAnsi" w:hAnsiTheme="minorHAnsi" w:cstheme="minorHAnsi"/>
          <w:sz w:val="22"/>
          <w:szCs w:val="22"/>
        </w:rPr>
        <w:t xml:space="preserve">Ing. </w:t>
      </w:r>
      <w:r w:rsidR="000F7AC9">
        <w:rPr>
          <w:rFonts w:asciiTheme="minorHAnsi" w:hAnsiTheme="minorHAnsi" w:cstheme="minorHAnsi"/>
          <w:sz w:val="22"/>
          <w:szCs w:val="22"/>
        </w:rPr>
        <w:t>Miloš Mihok</w:t>
      </w:r>
    </w:p>
    <w:p w14:paraId="424569DA" w14:textId="77777777" w:rsidR="009A4D42" w:rsidRPr="009A4D42" w:rsidRDefault="009A4D42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E849F7" w14:textId="18D1C37E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„kupujúci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9A4D42" w:rsidRDefault="00FD748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3D6A753A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Predávajúci: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38D904" w14:textId="59505C4B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IČO: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49EA3AE1" w14:textId="7AF19404" w:rsidR="00595D3F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DIČ: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9E1AE11" w14:textId="20C85770" w:rsidR="00C142C4" w:rsidRPr="009A4D42" w:rsidRDefault="00595D3F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 DPH:</w:t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21DFA456" w14:textId="77777777" w:rsidR="00A36D6D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IBAN: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439A0" w14:textId="1BF59F51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(ďalej ako „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predávajúci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882A21F" w14:textId="36295CB2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1116F7DB" w14:textId="092CB765" w:rsidR="00663C82" w:rsidRPr="009A4D42" w:rsidRDefault="00663C8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44508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I.</w:t>
      </w:r>
    </w:p>
    <w:p w14:paraId="21F27564" w14:textId="1741E756" w:rsidR="00C142C4" w:rsidRPr="009A4D42" w:rsidRDefault="00961508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Predmet zmluvy </w:t>
      </w:r>
    </w:p>
    <w:p w14:paraId="0742EEDA" w14:textId="3FAE123B" w:rsidR="00C142C4" w:rsidRPr="009A4D42" w:rsidRDefault="00E377ED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</w:t>
      </w:r>
      <w:r w:rsidR="00961508" w:rsidRPr="009A4D42">
        <w:rPr>
          <w:rFonts w:asciiTheme="minorHAnsi" w:hAnsiTheme="minorHAnsi" w:cstheme="minorHAnsi"/>
          <w:sz w:val="22"/>
          <w:szCs w:val="22"/>
        </w:rPr>
        <w:t>redávajúci sa zaväzuje, že kupujúcemu dodá a odovzdá tovar</w:t>
      </w:r>
      <w:r w:rsidR="00663C82" w:rsidRPr="009A4D42">
        <w:rPr>
          <w:rFonts w:asciiTheme="minorHAnsi" w:hAnsiTheme="minorHAnsi" w:cstheme="minorHAnsi"/>
          <w:sz w:val="22"/>
          <w:szCs w:val="22"/>
        </w:rPr>
        <w:t xml:space="preserve"> a služby s tým spojené, 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špecifikovan</w:t>
      </w:r>
      <w:r w:rsidR="00E92DA1"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</w:t>
      </w:r>
      <w:r w:rsidR="00D9489A">
        <w:rPr>
          <w:rFonts w:asciiTheme="minorHAnsi" w:hAnsiTheme="minorHAnsi" w:cstheme="minorHAnsi"/>
          <w:sz w:val="22"/>
          <w:szCs w:val="22"/>
        </w:rPr>
        <w:t>:</w:t>
      </w:r>
      <w:r w:rsidR="000F7AC9">
        <w:rPr>
          <w:rFonts w:asciiTheme="minorHAnsi" w:hAnsiTheme="minorHAnsi" w:cstheme="minorHAnsi"/>
          <w:sz w:val="22"/>
          <w:szCs w:val="22"/>
        </w:rPr>
        <w:t xml:space="preserve"> </w:t>
      </w:r>
      <w:r w:rsidR="00014BC4">
        <w:rPr>
          <w:rFonts w:asciiTheme="minorHAnsi" w:hAnsiTheme="minorHAnsi" w:cstheme="minorHAnsi"/>
          <w:sz w:val="22"/>
          <w:szCs w:val="22"/>
        </w:rPr>
        <w:t>P</w:t>
      </w:r>
      <w:r w:rsidR="000E6B14" w:rsidRPr="000E6B14">
        <w:rPr>
          <w:rFonts w:asciiTheme="minorHAnsi" w:hAnsiTheme="minorHAnsi" w:cstheme="minorHAnsi"/>
          <w:sz w:val="22"/>
          <w:szCs w:val="22"/>
        </w:rPr>
        <w:t xml:space="preserve">ríloha č. 1 Opis </w:t>
      </w:r>
      <w:r w:rsidR="00E92DA1">
        <w:rPr>
          <w:rFonts w:asciiTheme="minorHAnsi" w:hAnsiTheme="minorHAnsi" w:cstheme="minorHAnsi"/>
          <w:sz w:val="22"/>
          <w:szCs w:val="22"/>
        </w:rPr>
        <w:t xml:space="preserve">a technická špecifikácia </w:t>
      </w:r>
      <w:r w:rsidR="000E6B14" w:rsidRPr="000E6B14">
        <w:rPr>
          <w:rFonts w:asciiTheme="minorHAnsi" w:hAnsiTheme="minorHAnsi" w:cstheme="minorHAnsi"/>
          <w:sz w:val="22"/>
          <w:szCs w:val="22"/>
        </w:rPr>
        <w:t>predmetu zákazky</w:t>
      </w:r>
      <w:r w:rsidR="00014BC4">
        <w:rPr>
          <w:rFonts w:asciiTheme="minorHAnsi" w:hAnsiTheme="minorHAnsi" w:cstheme="minorHAnsi"/>
          <w:sz w:val="22"/>
          <w:szCs w:val="22"/>
        </w:rPr>
        <w:t xml:space="preserve"> ktorá </w:t>
      </w:r>
      <w:r w:rsidR="00D67E0A">
        <w:rPr>
          <w:rFonts w:asciiTheme="minorHAnsi" w:hAnsiTheme="minorHAnsi" w:cstheme="minorHAnsi"/>
          <w:sz w:val="22"/>
          <w:szCs w:val="22"/>
        </w:rPr>
        <w:t>je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neoddeliteľnou súčasťou 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9A4D42">
        <w:rPr>
          <w:rFonts w:asciiTheme="minorHAnsi" w:hAnsiTheme="minorHAnsi" w:cstheme="minorHAnsi"/>
          <w:sz w:val="22"/>
          <w:szCs w:val="22"/>
        </w:rPr>
        <w:t>zmluvy</w:t>
      </w:r>
      <w:r w:rsidR="00D5636B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9A4D42" w:rsidRDefault="00663C82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59CEA5A" w14:textId="77777777" w:rsidR="00C80BE5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4FD76832" w14:textId="77777777" w:rsidR="00C80BE5" w:rsidRPr="009A4D42" w:rsidRDefault="00C80BE5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5166A" w14:textId="3842C1EE" w:rsidR="00C142C4" w:rsidRPr="009A4D42" w:rsidRDefault="00961508" w:rsidP="00E377ED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Termín plnenia predmetu zmluvy je najneskôr do </w:t>
      </w:r>
      <w:r w:rsidR="00587A41">
        <w:rPr>
          <w:rFonts w:asciiTheme="minorHAnsi" w:hAnsiTheme="minorHAnsi" w:cstheme="minorHAnsi"/>
          <w:sz w:val="22"/>
          <w:szCs w:val="22"/>
        </w:rPr>
        <w:t>31.5.2025.</w:t>
      </w:r>
    </w:p>
    <w:p w14:paraId="38C578A8" w14:textId="7416A51E" w:rsidR="00587A41" w:rsidRDefault="00587A41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3C9720D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B0458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III.</w:t>
      </w:r>
    </w:p>
    <w:p w14:paraId="7E58274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Miesto a spôsob prevzatia predmetu zmluvy</w:t>
      </w:r>
    </w:p>
    <w:p w14:paraId="16E7DDE9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B6613" w14:textId="384D44B8" w:rsidR="00C80BE5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Miestom dodania predmetu </w:t>
      </w:r>
      <w:r w:rsidR="0075097A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je: </w:t>
      </w:r>
      <w:r w:rsidR="00C500AA">
        <w:rPr>
          <w:rFonts w:asciiTheme="minorHAnsi" w:hAnsiTheme="minorHAnsi" w:cstheme="minorHAnsi"/>
          <w:sz w:val="22"/>
          <w:szCs w:val="22"/>
        </w:rPr>
        <w:t>Farma Konský Raj Poľov</w:t>
      </w:r>
      <w:r w:rsidR="009C6478">
        <w:rPr>
          <w:rFonts w:asciiTheme="minorHAnsi" w:hAnsiTheme="minorHAnsi" w:cstheme="minorHAnsi"/>
          <w:sz w:val="22"/>
          <w:szCs w:val="22"/>
        </w:rPr>
        <w:t>.</w:t>
      </w:r>
    </w:p>
    <w:p w14:paraId="5F77AAB6" w14:textId="77777777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60280B33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sú potrebné pre jeho bezpečné a plne funkčné používanie</w:t>
      </w:r>
      <w:r w:rsidR="007C5A3C">
        <w:rPr>
          <w:rFonts w:asciiTheme="minorHAnsi" w:hAnsiTheme="minorHAnsi" w:cstheme="minorHAnsi"/>
          <w:sz w:val="22"/>
          <w:szCs w:val="22"/>
        </w:rPr>
        <w:t xml:space="preserve"> v slovenskom alebo českom jazyku.</w:t>
      </w:r>
    </w:p>
    <w:p w14:paraId="2A0D5DAD" w14:textId="14C483D4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020C58" w14:textId="33A06BE1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49A946B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B643F" w14:textId="77777777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Rozpis kúpnej ceny:</w:t>
      </w:r>
    </w:p>
    <w:p w14:paraId="531F371F" w14:textId="6335561A" w:rsidR="005652F3" w:rsidRPr="005652F3" w:rsidRDefault="005652F3" w:rsidP="005652F3">
      <w:pPr>
        <w:pStyle w:val="Odsekzoznamu"/>
        <w:spacing w:line="276" w:lineRule="auto"/>
        <w:ind w:left="0"/>
        <w:jc w:val="right"/>
        <w:rPr>
          <w:rFonts w:asciiTheme="minorHAnsi" w:hAnsiTheme="minorHAnsi" w:cstheme="minorHAnsi"/>
          <w:sz w:val="16"/>
          <w:szCs w:val="16"/>
        </w:rPr>
      </w:pPr>
      <w:r w:rsidRPr="005652F3">
        <w:rPr>
          <w:rFonts w:asciiTheme="minorHAnsi" w:hAnsiTheme="minorHAnsi" w:cstheme="minorHAnsi"/>
          <w:sz w:val="16"/>
          <w:szCs w:val="16"/>
        </w:rPr>
        <w:tab/>
      </w:r>
      <w:r w:rsidRPr="005652F3">
        <w:rPr>
          <w:rFonts w:asciiTheme="minorHAnsi" w:hAnsiTheme="minorHAnsi" w:cstheme="minorHAnsi"/>
          <w:sz w:val="16"/>
          <w:szCs w:val="16"/>
        </w:rPr>
        <w:tab/>
      </w:r>
    </w:p>
    <w:tbl>
      <w:tblPr>
        <w:tblStyle w:val="Mriekatabuky"/>
        <w:tblW w:w="1065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418"/>
        <w:gridCol w:w="1418"/>
        <w:gridCol w:w="850"/>
        <w:gridCol w:w="1559"/>
        <w:gridCol w:w="1868"/>
      </w:tblGrid>
      <w:tr w:rsidR="00C500AA" w:rsidRPr="008356B5" w14:paraId="11770D68" w14:textId="77777777" w:rsidTr="00C500AA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31567C0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Číslo pol.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24E20C" w14:textId="77777777" w:rsidR="00C500AA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Názov položky</w:t>
            </w:r>
          </w:p>
          <w:p w14:paraId="3739F490" w14:textId="2C74D8E2" w:rsidR="00C500AA" w:rsidRPr="00D9489A" w:rsidRDefault="00C500AA" w:rsidP="00C500AA">
            <w:pPr>
              <w:pStyle w:val="Odsekzoznamu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AA54BF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Množstvo</w:t>
            </w:r>
          </w:p>
          <w:p w14:paraId="07E7D9F1" w14:textId="05820459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418" w:type="dxa"/>
          </w:tcPr>
          <w:p w14:paraId="47664CF0" w14:textId="2B7A24F0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850" w:type="dxa"/>
          </w:tcPr>
          <w:p w14:paraId="3AA25E7E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59" w:type="dxa"/>
          </w:tcPr>
          <w:p w14:paraId="020FD04F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868" w:type="dxa"/>
          </w:tcPr>
          <w:p w14:paraId="33B71395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Cena spolu s DPH 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C500AA" w:rsidRPr="008356B5" w14:paraId="06CC6CBA" w14:textId="77777777" w:rsidTr="00C500AA">
        <w:trPr>
          <w:jc w:val="center"/>
        </w:trPr>
        <w:tc>
          <w:tcPr>
            <w:tcW w:w="704" w:type="dxa"/>
          </w:tcPr>
          <w:p w14:paraId="1F4A03D5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7581CCEE" w14:textId="25BB1592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C6120">
              <w:t>Prístrešok pre kone</w:t>
            </w:r>
          </w:p>
        </w:tc>
        <w:tc>
          <w:tcPr>
            <w:tcW w:w="1418" w:type="dxa"/>
          </w:tcPr>
          <w:p w14:paraId="0181528E" w14:textId="67ED7F74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7E0B6B4B" w14:textId="64A0A25A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201F13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54D513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</w:tcPr>
          <w:p w14:paraId="3F7F0415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0AA" w:rsidRPr="008356B5" w14:paraId="6DEB831A" w14:textId="77777777" w:rsidTr="00C500AA">
        <w:trPr>
          <w:jc w:val="center"/>
        </w:trPr>
        <w:tc>
          <w:tcPr>
            <w:tcW w:w="704" w:type="dxa"/>
          </w:tcPr>
          <w:p w14:paraId="7792C49C" w14:textId="6E7D2D80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14:paraId="548D979C" w14:textId="0673A7EF" w:rsidR="00C500AA" w:rsidRPr="00FD1898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Times New Roman"/>
              </w:rPr>
            </w:pPr>
            <w:r w:rsidRPr="00AC6120">
              <w:t>Mobilné boxy pre prístrešok</w:t>
            </w:r>
          </w:p>
        </w:tc>
        <w:tc>
          <w:tcPr>
            <w:tcW w:w="1418" w:type="dxa"/>
          </w:tcPr>
          <w:p w14:paraId="592F97CD" w14:textId="1D3F7D0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6C1359B1" w14:textId="5948CEBA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D64C852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65D6B7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</w:tcPr>
          <w:p w14:paraId="03EB1E06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0AA" w:rsidRPr="008356B5" w14:paraId="30E803FF" w14:textId="77777777" w:rsidTr="00C500AA">
        <w:trPr>
          <w:jc w:val="center"/>
        </w:trPr>
        <w:tc>
          <w:tcPr>
            <w:tcW w:w="704" w:type="dxa"/>
          </w:tcPr>
          <w:p w14:paraId="3CBB7EBA" w14:textId="400EAD30" w:rsidR="00C500AA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14:paraId="7FF967CE" w14:textId="1DFE2AA8" w:rsidR="00C500AA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Times New Roman"/>
              </w:rPr>
            </w:pPr>
            <w:r w:rsidRPr="00AC6120">
              <w:t>Prístrešok na pasienky kone</w:t>
            </w:r>
          </w:p>
        </w:tc>
        <w:tc>
          <w:tcPr>
            <w:tcW w:w="1418" w:type="dxa"/>
          </w:tcPr>
          <w:p w14:paraId="45E9CB48" w14:textId="27AC40FF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6F7CCFD4" w14:textId="11DF7DCD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3DF0A7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45FB3A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</w:tcPr>
          <w:p w14:paraId="40C3C1A1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0AA" w:rsidRPr="008356B5" w14:paraId="4ED2B75A" w14:textId="77777777" w:rsidTr="00C500AA">
        <w:trPr>
          <w:jc w:val="center"/>
        </w:trPr>
        <w:tc>
          <w:tcPr>
            <w:tcW w:w="704" w:type="dxa"/>
          </w:tcPr>
          <w:p w14:paraId="4FEE248E" w14:textId="2117B442" w:rsidR="00C500AA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14:paraId="7DFD2A08" w14:textId="3AB736AA" w:rsidR="00C500AA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Times New Roman"/>
              </w:rPr>
            </w:pPr>
            <w:r w:rsidRPr="00AC6120">
              <w:t>Elektrická ohrada na pasienky pre kone s monitoringom</w:t>
            </w:r>
          </w:p>
        </w:tc>
        <w:tc>
          <w:tcPr>
            <w:tcW w:w="1418" w:type="dxa"/>
          </w:tcPr>
          <w:p w14:paraId="6B75CAC5" w14:textId="47193195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3599193A" w14:textId="352870A2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698FB9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BB9B40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</w:tcPr>
          <w:p w14:paraId="693FC76E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0AA" w:rsidRPr="008356B5" w14:paraId="4BC0363B" w14:textId="77777777" w:rsidTr="00C500AA">
        <w:trPr>
          <w:jc w:val="center"/>
        </w:trPr>
        <w:tc>
          <w:tcPr>
            <w:tcW w:w="704" w:type="dxa"/>
          </w:tcPr>
          <w:p w14:paraId="1D747405" w14:textId="48F64B64" w:rsidR="00C500AA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14:paraId="17939340" w14:textId="21B8E41D" w:rsidR="00C500AA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Times New Roman"/>
              </w:rPr>
            </w:pPr>
            <w:r w:rsidRPr="00AC6120">
              <w:t>Oblúková konštrukcia pre skladovanie objemových krmovín</w:t>
            </w:r>
          </w:p>
        </w:tc>
        <w:tc>
          <w:tcPr>
            <w:tcW w:w="1418" w:type="dxa"/>
          </w:tcPr>
          <w:p w14:paraId="51BC678F" w14:textId="2C9004DC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64835FAA" w14:textId="20F0D231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F9DD1E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A49200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</w:tcPr>
          <w:p w14:paraId="2E81FC7E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0AA" w:rsidRPr="008356B5" w14:paraId="468D837B" w14:textId="77777777" w:rsidTr="00C83C3F">
        <w:trPr>
          <w:jc w:val="center"/>
        </w:trPr>
        <w:tc>
          <w:tcPr>
            <w:tcW w:w="4957" w:type="dxa"/>
            <w:gridSpan w:val="3"/>
          </w:tcPr>
          <w:p w14:paraId="2BBED9F1" w14:textId="25042BA4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952">
              <w:rPr>
                <w:rFonts w:asciiTheme="minorHAnsi" w:hAnsiTheme="minorHAnsi" w:cstheme="minorHAnsi"/>
                <w:sz w:val="22"/>
                <w:szCs w:val="22"/>
              </w:rPr>
              <w:t>Spolu za celý predmet zákazky</w:t>
            </w:r>
          </w:p>
        </w:tc>
        <w:tc>
          <w:tcPr>
            <w:tcW w:w="1418" w:type="dxa"/>
          </w:tcPr>
          <w:p w14:paraId="546DAB8C" w14:textId="43DDB6E9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5AF8A6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01A32A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</w:tcPr>
          <w:p w14:paraId="00DD5834" w14:textId="77777777" w:rsidR="00C500AA" w:rsidRPr="008356B5" w:rsidRDefault="00C500AA" w:rsidP="00C500AA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1CFCF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60AB8" w14:textId="0B0E4960" w:rsidR="00C142C4" w:rsidRDefault="00E92DA1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2DA1">
        <w:rPr>
          <w:rFonts w:asciiTheme="minorHAnsi" w:hAnsiTheme="minorHAnsi" w:cstheme="minorHAnsi"/>
          <w:b/>
          <w:sz w:val="22"/>
          <w:szCs w:val="22"/>
          <w:u w:val="single"/>
        </w:rPr>
        <w:t>slovom: .............................................................................................................................EUR</w:t>
      </w:r>
      <w:r w:rsidR="0081324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3E2198A7" w14:textId="77777777" w:rsidR="0081324E" w:rsidRPr="009A4D42" w:rsidRDefault="0081324E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96028C" w14:textId="054D3AD4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>
        <w:rPr>
          <w:rFonts w:asciiTheme="minorHAnsi" w:hAnsiTheme="minorHAnsi" w:cstheme="minorHAnsi"/>
          <w:sz w:val="22"/>
          <w:szCs w:val="22"/>
        </w:rPr>
        <w:t>môže byť len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832081" w:rsidRPr="009C7026">
        <w:rPr>
          <w:rFonts w:asciiTheme="minorHAnsi" w:hAnsiTheme="minorHAnsi" w:cstheme="minorHAnsi"/>
          <w:sz w:val="22"/>
          <w:szCs w:val="22"/>
        </w:rPr>
        <w:t>písomným dodatkom k zmluve uzavretým podľa čl. 13 bod 4 zmluvy,</w:t>
      </w:r>
      <w:r w:rsidR="00832081" w:rsidRPr="00832081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z dôvodu zmien sadzby dane podľa daňových zákonov Slovenskej republiky. </w:t>
      </w:r>
    </w:p>
    <w:p w14:paraId="497F44FD" w14:textId="5D0C0E90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Cena je splatná na základe faktúry predávajúceho</w:t>
      </w:r>
      <w:r w:rsidR="00800956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1A1D3A9" w14:textId="6D5ABA1B" w:rsidR="00C92C84" w:rsidRPr="009A4D42" w:rsidRDefault="00C92C84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možné poskytnúť záloh</w:t>
      </w:r>
      <w:r w:rsidR="009465DB">
        <w:rPr>
          <w:rFonts w:asciiTheme="minorHAnsi" w:hAnsiTheme="minorHAnsi" w:cstheme="minorHAnsi"/>
          <w:sz w:val="22"/>
          <w:szCs w:val="22"/>
        </w:rPr>
        <w:t>ovú platbu.</w:t>
      </w:r>
    </w:p>
    <w:p w14:paraId="4A4BBA2C" w14:textId="57F9D6C0" w:rsidR="00C142C4" w:rsidRDefault="00961508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956">
        <w:rPr>
          <w:rFonts w:asciiTheme="minorHAnsi" w:hAnsiTheme="minorHAnsi" w:cstheme="minorHAnsi"/>
          <w:sz w:val="22"/>
          <w:szCs w:val="22"/>
        </w:rPr>
        <w:t xml:space="preserve">Splatnosť faktúr </w:t>
      </w:r>
      <w:r w:rsidR="00800956" w:rsidRPr="00800956">
        <w:rPr>
          <w:rFonts w:asciiTheme="minorHAnsi" w:hAnsiTheme="minorHAnsi" w:cstheme="minorHAnsi"/>
          <w:sz w:val="22"/>
          <w:szCs w:val="22"/>
        </w:rPr>
        <w:t>je</w:t>
      </w:r>
      <w:r w:rsidRP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0F7AC9">
        <w:rPr>
          <w:rFonts w:asciiTheme="minorHAnsi" w:hAnsiTheme="minorHAnsi" w:cstheme="minorHAnsi"/>
          <w:sz w:val="22"/>
          <w:szCs w:val="22"/>
        </w:rPr>
        <w:t>6</w:t>
      </w:r>
      <w:r w:rsidRPr="00800956">
        <w:rPr>
          <w:rFonts w:asciiTheme="minorHAnsi" w:hAnsiTheme="minorHAnsi" w:cstheme="minorHAnsi"/>
          <w:sz w:val="22"/>
          <w:szCs w:val="22"/>
        </w:rPr>
        <w:t xml:space="preserve">0 dní od vystavenia faktúry. </w:t>
      </w:r>
    </w:p>
    <w:p w14:paraId="37FA42B3" w14:textId="5EC96BF9" w:rsidR="00800956" w:rsidRDefault="00800956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4016DB" w14:textId="77777777" w:rsidR="00E46A77" w:rsidRPr="00800956" w:rsidRDefault="00E46A77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C67A603" w14:textId="77777777" w:rsidR="009465DB" w:rsidRDefault="009465DB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95BF538" w14:textId="562DF6F3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V.</w:t>
      </w:r>
    </w:p>
    <w:p w14:paraId="37DB3D3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70C9031B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91A9E" w14:textId="00FE2AB0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predávajúci dostane do omeškania s dodaním, zaväzuje sa zaplatiť kupujúcemu zmluvnú pokutu vo výške </w:t>
      </w:r>
      <w:r w:rsidR="005746CE">
        <w:rPr>
          <w:rFonts w:asciiTheme="minorHAnsi" w:hAnsiTheme="minorHAnsi" w:cstheme="minorHAnsi"/>
          <w:sz w:val="22"/>
          <w:szCs w:val="22"/>
        </w:rPr>
        <w:t xml:space="preserve">0,02 </w:t>
      </w:r>
      <w:r w:rsidRPr="009A4D42">
        <w:rPr>
          <w:rFonts w:asciiTheme="minorHAnsi" w:hAnsiTheme="minorHAnsi" w:cstheme="minorHAnsi"/>
          <w:sz w:val="22"/>
          <w:szCs w:val="22"/>
        </w:rPr>
        <w:t xml:space="preserve"> % z celkovej kúpnej ceny</w:t>
      </w:r>
      <w:r w:rsidR="0080095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 tovaru/tovarov bez DPH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  <w:r w:rsidR="005746CE">
        <w:rPr>
          <w:rFonts w:asciiTheme="minorHAnsi" w:hAnsiTheme="minorHAnsi" w:cstheme="minorHAnsi"/>
          <w:sz w:val="22"/>
          <w:szCs w:val="22"/>
        </w:rPr>
        <w:t>Týmto nie je dotknuté právo kupujúceho na náhradu škody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29CBCD59" w14:textId="6F4956E7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kupujúci dostane do omeškania s platením dohodnutej kúpnej ceny tovaru, zaväzuje sa zaplatiť predávajúcemu </w:t>
      </w:r>
      <w:r w:rsidR="005746CE">
        <w:rPr>
          <w:rFonts w:asciiTheme="minorHAnsi" w:hAnsiTheme="minorHAnsi" w:cstheme="minorHAnsi"/>
          <w:sz w:val="22"/>
          <w:szCs w:val="22"/>
        </w:rPr>
        <w:t>úrok z omeškania vo výške 0,02 % z nezaplatenej ceny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>.</w:t>
      </w:r>
    </w:p>
    <w:p w14:paraId="2D1520CE" w14:textId="77777777" w:rsidR="009465DB" w:rsidRDefault="009465DB" w:rsidP="001E5B35">
      <w:pPr>
        <w:suppressAutoHyphens w:val="0"/>
        <w:ind w:left="3545" w:firstLine="709"/>
        <w:rPr>
          <w:rFonts w:asciiTheme="minorHAnsi" w:hAnsiTheme="minorHAnsi" w:cstheme="minorHAnsi"/>
          <w:b/>
          <w:sz w:val="22"/>
          <w:szCs w:val="22"/>
        </w:rPr>
      </w:pPr>
    </w:p>
    <w:p w14:paraId="1CF524A2" w14:textId="36927EBE" w:rsidR="00C142C4" w:rsidRPr="009A4D42" w:rsidRDefault="00961508" w:rsidP="001E5B35">
      <w:pPr>
        <w:suppressAutoHyphens w:val="0"/>
        <w:ind w:left="3545" w:firstLine="709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VI.</w:t>
      </w:r>
    </w:p>
    <w:p w14:paraId="038B1526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09B7126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A74E0" w14:textId="0FB2C815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9A4D42">
        <w:rPr>
          <w:rFonts w:asciiTheme="minorHAnsi" w:hAnsiTheme="minorHAnsi" w:cstheme="minorHAnsi"/>
          <w:sz w:val="22"/>
          <w:szCs w:val="22"/>
        </w:rPr>
        <w:t>určenej písomne kupujúcim.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77777777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9A4D42">
        <w:rPr>
          <w:rFonts w:asciiTheme="minorHAnsi" w:hAnsiTheme="minorHAnsi" w:cstheme="minorHAnsi"/>
          <w:sz w:val="22"/>
          <w:szCs w:val="22"/>
        </w:rPr>
        <w:t>súvisiac</w:t>
      </w:r>
      <w:r w:rsidR="00C15723" w:rsidRPr="009A4D42">
        <w:rPr>
          <w:rFonts w:asciiTheme="minorHAnsi" w:hAnsiTheme="minorHAnsi" w:cstheme="minorHAnsi"/>
          <w:sz w:val="22"/>
          <w:szCs w:val="22"/>
        </w:rPr>
        <w:t>u</w:t>
      </w:r>
      <w:r w:rsidRPr="009A4D42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tovar nebol kupujúcemu dodaný </w:t>
      </w:r>
      <w:r w:rsidRPr="009A4D42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1E1003DC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Záruka</w:t>
      </w:r>
      <w:r w:rsidR="00E377ED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44D5" w:rsidRPr="009A4D42">
        <w:rPr>
          <w:rFonts w:asciiTheme="minorHAnsi" w:hAnsiTheme="minorHAnsi" w:cstheme="minorHAnsi"/>
          <w:b/>
          <w:sz w:val="22"/>
          <w:szCs w:val="22"/>
        </w:rPr>
        <w:t>na tovar</w:t>
      </w:r>
    </w:p>
    <w:p w14:paraId="7466E2FF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F56D6" w14:textId="789173F4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preberá záruku za akosť tovaru špecifikovaného podľa Článku I. tejto zmluvy. Na tovar sa poskytuje záruka </w:t>
      </w:r>
      <w:r w:rsidR="000F7AC9">
        <w:rPr>
          <w:rFonts w:asciiTheme="minorHAnsi" w:hAnsiTheme="minorHAnsi" w:cstheme="minorHAnsi"/>
          <w:sz w:val="22"/>
          <w:szCs w:val="22"/>
        </w:rPr>
        <w:t xml:space="preserve">12 </w:t>
      </w:r>
      <w:r w:rsidRPr="009A4D42">
        <w:rPr>
          <w:rFonts w:asciiTheme="minorHAnsi" w:hAnsiTheme="minorHAnsi" w:cstheme="minorHAnsi"/>
          <w:sz w:val="22"/>
          <w:szCs w:val="22"/>
        </w:rPr>
        <w:t xml:space="preserve">mesiacov. Záruka začína plynúť odo dňa zaškolenia kupujúceho podľa Článku VIII. </w:t>
      </w:r>
      <w:r w:rsidR="00C15723" w:rsidRPr="009A4D42">
        <w:rPr>
          <w:rFonts w:asciiTheme="minorHAnsi" w:hAnsiTheme="minorHAnsi" w:cstheme="minorHAnsi"/>
          <w:sz w:val="22"/>
          <w:szCs w:val="22"/>
        </w:rPr>
        <w:t>t</w:t>
      </w:r>
      <w:r w:rsidRPr="009A4D42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7777777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05AF74D5" w:rsidR="00C142C4" w:rsidRPr="009A4D42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 prípade reklamácie sa p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redávajúci sa zaväzuje nastúpiť na servisný úkon do </w:t>
      </w:r>
      <w:r w:rsidR="007C5A3C">
        <w:rPr>
          <w:rFonts w:asciiTheme="minorHAnsi" w:hAnsiTheme="minorHAnsi" w:cstheme="minorHAnsi"/>
          <w:sz w:val="22"/>
          <w:szCs w:val="22"/>
        </w:rPr>
        <w:t>5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 xml:space="preserve">pracovných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dní od nahlásenia </w:t>
      </w:r>
      <w:r w:rsidRPr="009A4D42">
        <w:rPr>
          <w:rFonts w:asciiTheme="minorHAnsi" w:hAnsiTheme="minorHAnsi" w:cstheme="minorHAnsi"/>
          <w:sz w:val="22"/>
          <w:szCs w:val="22"/>
        </w:rPr>
        <w:t>vady/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zariadení je nástup na odstránenie vady do 24  hodín od nahlásenia vady/poruchy.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Zároveň sa predávajúci zaväzuje odstrániť vady tovaru </w:t>
      </w:r>
      <w:r w:rsidRPr="009A4D42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9A4D42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3A959E8B" w14:textId="77777777" w:rsidR="00101137" w:rsidRPr="009A4D42" w:rsidRDefault="00101137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CB13CD" w14:textId="77777777" w:rsidR="009465DB" w:rsidRDefault="009465DB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12F8F2" w14:textId="1E985A40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VIII.</w:t>
      </w:r>
    </w:p>
    <w:p w14:paraId="36E521A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Zaškolenie kupujúceho</w:t>
      </w:r>
    </w:p>
    <w:p w14:paraId="0F49A173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0F7B601" w14:textId="77777777" w:rsidR="009465DB" w:rsidRDefault="00961508" w:rsidP="009465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58733C0A" w14:textId="77777777" w:rsidR="009465DB" w:rsidRDefault="009465DB" w:rsidP="009465D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22869C1" w14:textId="0A0E0F72" w:rsidR="00C142C4" w:rsidRPr="009A4D42" w:rsidRDefault="00961508" w:rsidP="009465D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IX.</w:t>
      </w:r>
    </w:p>
    <w:p w14:paraId="236DEEB3" w14:textId="77777777" w:rsidR="00C142C4" w:rsidRPr="009A4D42" w:rsidRDefault="00961508" w:rsidP="00E377ED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4B6B1DD9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64D8FC" w14:textId="77777777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9A4D42">
        <w:rPr>
          <w:rFonts w:asciiTheme="minorHAnsi" w:hAnsiTheme="minorHAnsi" w:cstheme="minorHAnsi"/>
          <w:sz w:val="22"/>
          <w:szCs w:val="22"/>
        </w:rPr>
        <w:t>2</w:t>
      </w:r>
      <w:r w:rsidRPr="009A4D42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1BDBAE8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12FDA" w14:textId="0E530399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39A56802" w14:textId="660BB72A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282322">
        <w:rPr>
          <w:rFonts w:asciiTheme="minorHAnsi" w:hAnsiTheme="minorHAnsi" w:cstheme="minorHAnsi"/>
          <w:b/>
          <w:sz w:val="22"/>
          <w:szCs w:val="22"/>
        </w:rPr>
        <w:t>, sankcie</w:t>
      </w:r>
      <w:r w:rsidRPr="009A4D42">
        <w:rPr>
          <w:rFonts w:asciiTheme="minorHAnsi" w:hAnsiTheme="minorHAnsi" w:cstheme="minorHAnsi"/>
          <w:b/>
          <w:sz w:val="22"/>
          <w:szCs w:val="22"/>
        </w:rPr>
        <w:t xml:space="preserve"> a zmluvné pokuty</w:t>
      </w:r>
    </w:p>
    <w:p w14:paraId="1993D5D8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494DABEE" w:rsidR="00445904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3C993CA" w14:textId="0BCCF82B" w:rsidR="00282322" w:rsidRPr="00282322" w:rsidRDefault="00282322" w:rsidP="00282322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prípade, že predávajúci nedodrží kritériá, na základe ktorých v rámci verejného obstarávania zákazku získal, je povinný uhradiť kupujúcemu </w:t>
      </w:r>
      <w:r>
        <w:rPr>
          <w:rFonts w:asciiTheme="minorHAnsi" w:hAnsiTheme="minorHAnsi" w:cstheme="minorHAnsi"/>
          <w:sz w:val="22"/>
          <w:szCs w:val="22"/>
        </w:rPr>
        <w:t>sankciu vo výške rozdielu medzi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B82C6E">
        <w:rPr>
          <w:rFonts w:asciiTheme="minorHAnsi" w:hAnsiTheme="minorHAnsi" w:cstheme="minorHAnsi"/>
          <w:sz w:val="22"/>
          <w:szCs w:val="22"/>
        </w:rPr>
        <w:t>víťaznou</w:t>
      </w:r>
      <w:r w:rsidRPr="009A4D42">
        <w:rPr>
          <w:rFonts w:asciiTheme="minorHAnsi" w:hAnsiTheme="minorHAnsi" w:cstheme="minorHAnsi"/>
          <w:sz w:val="22"/>
          <w:szCs w:val="22"/>
        </w:rPr>
        <w:t xml:space="preserve"> ponukou a ponukou </w:t>
      </w:r>
      <w:r w:rsidR="00B82C6E">
        <w:rPr>
          <w:rFonts w:asciiTheme="minorHAnsi" w:hAnsiTheme="minorHAnsi" w:cstheme="minorHAnsi"/>
          <w:sz w:val="22"/>
          <w:szCs w:val="22"/>
        </w:rPr>
        <w:t xml:space="preserve">ďalšieho </w:t>
      </w:r>
      <w:r w:rsidRPr="009A4D42">
        <w:rPr>
          <w:rFonts w:asciiTheme="minorHAnsi" w:hAnsiTheme="minorHAnsi" w:cstheme="minorHAnsi"/>
          <w:sz w:val="22"/>
          <w:szCs w:val="22"/>
        </w:rPr>
        <w:t>uchádzača v poradí.</w:t>
      </w:r>
    </w:p>
    <w:p w14:paraId="1595C986" w14:textId="77777777" w:rsidR="00C142C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uplatňovaní náhrady škody platia ustanovenia § 373 a </w:t>
      </w:r>
      <w:proofErr w:type="spellStart"/>
      <w:r w:rsidRPr="009A4D42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6151DB7F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B07170" w14:textId="06B82436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XI.</w:t>
      </w:r>
      <w:r w:rsidRPr="009A4D42">
        <w:rPr>
          <w:rFonts w:asciiTheme="minorHAnsi" w:hAnsiTheme="minorHAnsi" w:cstheme="minorHAnsi"/>
          <w:b/>
          <w:sz w:val="22"/>
          <w:szCs w:val="22"/>
        </w:rPr>
        <w:br/>
        <w:t>Riešenie sporov</w:t>
      </w:r>
    </w:p>
    <w:p w14:paraId="58FC95AD" w14:textId="77777777" w:rsidR="00C142C4" w:rsidRPr="009A4D42" w:rsidRDefault="00961508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D06EC54" w14:textId="09BE2FDC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9A4D42">
        <w:rPr>
          <w:rFonts w:asciiTheme="minorHAnsi" w:hAnsiTheme="minorHAnsi" w:cstheme="minorHAnsi"/>
          <w:sz w:val="22"/>
          <w:szCs w:val="22"/>
        </w:rPr>
        <w:t>sídla kupujúceho a bude rozhodovať podľa hmotných a procesných predpisov právneho poriadku Slovenskej republiky.</w:t>
      </w:r>
    </w:p>
    <w:p w14:paraId="3DA55497" w14:textId="3D77C8B6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9A4D42" w:rsidRDefault="00961508" w:rsidP="00E377ED">
      <w:pPr>
        <w:pStyle w:val="Riadok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149E725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A106" w14:textId="1BFA97F5" w:rsidR="00663C82" w:rsidRPr="002A3920" w:rsidRDefault="00961508" w:rsidP="00D123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920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2A3920">
        <w:rPr>
          <w:rFonts w:asciiTheme="minorHAnsi" w:hAnsiTheme="minorHAnsi" w:cstheme="minorHAnsi"/>
          <w:sz w:val="22"/>
          <w:szCs w:val="22"/>
        </w:rPr>
        <w:t>že</w:t>
      </w:r>
      <w:r w:rsidRPr="002A3920">
        <w:rPr>
          <w:rFonts w:asciiTheme="minorHAnsi" w:hAnsiTheme="minorHAnsi" w:cstheme="minorHAnsi"/>
          <w:sz w:val="22"/>
          <w:szCs w:val="22"/>
        </w:rPr>
        <w:t xml:space="preserve"> 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 Uvedenú povinnosť musia obsahovať aj zmluvy so subdodávateľmi </w:t>
      </w:r>
      <w:proofErr w:type="spellStart"/>
      <w:r w:rsidR="002A3920" w:rsidRPr="002A3920">
        <w:rPr>
          <w:rFonts w:asciiTheme="minorHAnsi" w:hAnsiTheme="minorHAnsi" w:cstheme="minorHAnsi"/>
          <w:sz w:val="22"/>
          <w:szCs w:val="22"/>
        </w:rPr>
        <w:t>zazmluvneného</w:t>
      </w:r>
      <w:proofErr w:type="spellEnd"/>
      <w:r w:rsidR="002A3920" w:rsidRPr="002A3920">
        <w:rPr>
          <w:rFonts w:asciiTheme="minorHAnsi" w:hAnsiTheme="minorHAnsi" w:cstheme="minorHAnsi"/>
          <w:sz w:val="22"/>
          <w:szCs w:val="22"/>
        </w:rPr>
        <w:t xml:space="preserve"> víťazného uchádzača</w:t>
      </w:r>
    </w:p>
    <w:p w14:paraId="5CCF4D3C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153F069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B6C98" w14:textId="6D78C876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oboma zmluvnými stranami a účinnosť </w:t>
      </w:r>
      <w:r w:rsidR="00832081" w:rsidRPr="00E92DA1">
        <w:rPr>
          <w:rFonts w:asciiTheme="minorHAnsi" w:hAnsiTheme="minorHAnsi" w:cstheme="minorHAnsi"/>
          <w:sz w:val="22"/>
          <w:szCs w:val="22"/>
        </w:rPr>
        <w:t>dňom</w:t>
      </w:r>
      <w:r w:rsidR="00832081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>nasledujúcim po dni uzavretia zmluvy</w:t>
      </w:r>
      <w:r w:rsidR="00832081">
        <w:rPr>
          <w:rFonts w:asciiTheme="minorHAnsi" w:hAnsiTheme="minorHAnsi" w:cstheme="minorHAnsi"/>
          <w:sz w:val="22"/>
          <w:szCs w:val="22"/>
        </w:rPr>
        <w:t>.</w:t>
      </w:r>
    </w:p>
    <w:p w14:paraId="7A742240" w14:textId="2D9D5F72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Súčasťou tejto zmluvy je </w:t>
      </w:r>
      <w:r w:rsidR="00807ADF" w:rsidRPr="00807ADF">
        <w:rPr>
          <w:rFonts w:asciiTheme="minorHAnsi" w:hAnsiTheme="minorHAnsi" w:cstheme="minorHAnsi"/>
          <w:sz w:val="22"/>
          <w:szCs w:val="22"/>
        </w:rPr>
        <w:t>Príloha č. 1 – Opis a technická špecifikácie predmetu zákazky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3A9176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Kúpna zmluva je vyhotovená v 4 rovnopisoch. Každá zmluvná strana dostane 2 rovnopisy.</w:t>
      </w:r>
    </w:p>
    <w:p w14:paraId="62E507DE" w14:textId="2BF69FFD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Zmluvné strany si zmluvu prečítali, jej obsahu porozumeli</w:t>
      </w:r>
      <w:r w:rsidR="009C702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a na znak súhlasu ju potvrdili svojimi podpismi.</w:t>
      </w:r>
    </w:p>
    <w:p w14:paraId="79F4C52A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3CC861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00F46" w14:textId="213DDE90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6C8B1" w14:textId="4ECB8398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 ............................,</w:t>
      </w:r>
      <w:r w:rsidR="00DC2733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dňa: ....................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9A4D42" w:rsidRDefault="00C142C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799C2" w14:textId="77777777" w:rsidR="00E377ED" w:rsidRPr="009A4D42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6B142" w14:textId="2F8AFE01" w:rsidR="00445904" w:rsidRPr="009A4D42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9A4D42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C8AA3" w14:textId="77777777" w:rsidR="00777EEE" w:rsidRPr="009A4D42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37F58B7" w14:textId="7473105F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Predávajúci: </w:t>
      </w:r>
      <w:r w:rsidRPr="009A4D4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Pr="009A4D4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00BA58F6" w14:textId="777B6BF3" w:rsidR="00C142C4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sectPr w:rsidR="00C142C4" w:rsidRPr="009A4D42" w:rsidSect="00F72A61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F644" w14:textId="77777777" w:rsidR="00C73629" w:rsidRDefault="00C73629">
      <w:r>
        <w:separator/>
      </w:r>
    </w:p>
  </w:endnote>
  <w:endnote w:type="continuationSeparator" w:id="0">
    <w:p w14:paraId="080C5989" w14:textId="77777777" w:rsidR="00C73629" w:rsidRDefault="00C7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48D" w14:textId="5E3D99B0" w:rsidR="00C142C4" w:rsidRPr="009A4D42" w:rsidRDefault="00961508" w:rsidP="009A4D42"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6256A1">
      <w:rPr>
        <w:noProof/>
      </w:rPr>
      <w:t>5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C9A2" w14:textId="77777777" w:rsidR="00C73629" w:rsidRDefault="00C73629">
      <w:r>
        <w:separator/>
      </w:r>
    </w:p>
  </w:footnote>
  <w:footnote w:type="continuationSeparator" w:id="0">
    <w:p w14:paraId="04C98DD6" w14:textId="77777777" w:rsidR="00C73629" w:rsidRDefault="00C7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0"/>
  </w:num>
  <w:num w:numId="2" w16cid:durableId="2113628706">
    <w:abstractNumId w:val="2"/>
  </w:num>
  <w:num w:numId="3" w16cid:durableId="1836458565">
    <w:abstractNumId w:val="16"/>
  </w:num>
  <w:num w:numId="4" w16cid:durableId="1659575986">
    <w:abstractNumId w:val="8"/>
  </w:num>
  <w:num w:numId="5" w16cid:durableId="1872764217">
    <w:abstractNumId w:val="15"/>
  </w:num>
  <w:num w:numId="6" w16cid:durableId="1913154947">
    <w:abstractNumId w:val="6"/>
  </w:num>
  <w:num w:numId="7" w16cid:durableId="2085912137">
    <w:abstractNumId w:val="7"/>
  </w:num>
  <w:num w:numId="8" w16cid:durableId="812605072">
    <w:abstractNumId w:val="24"/>
  </w:num>
  <w:num w:numId="9" w16cid:durableId="1502817489">
    <w:abstractNumId w:val="25"/>
  </w:num>
  <w:num w:numId="10" w16cid:durableId="166021168">
    <w:abstractNumId w:val="9"/>
  </w:num>
  <w:num w:numId="11" w16cid:durableId="355036145">
    <w:abstractNumId w:val="5"/>
  </w:num>
  <w:num w:numId="12" w16cid:durableId="735205755">
    <w:abstractNumId w:val="18"/>
  </w:num>
  <w:num w:numId="13" w16cid:durableId="14188322">
    <w:abstractNumId w:val="20"/>
  </w:num>
  <w:num w:numId="14" w16cid:durableId="1599951004">
    <w:abstractNumId w:val="12"/>
  </w:num>
  <w:num w:numId="15" w16cid:durableId="1957831202">
    <w:abstractNumId w:val="3"/>
  </w:num>
  <w:num w:numId="16" w16cid:durableId="809976250">
    <w:abstractNumId w:val="23"/>
  </w:num>
  <w:num w:numId="17" w16cid:durableId="460612868">
    <w:abstractNumId w:val="17"/>
  </w:num>
  <w:num w:numId="18" w16cid:durableId="2132436832">
    <w:abstractNumId w:val="19"/>
  </w:num>
  <w:num w:numId="19" w16cid:durableId="1069116025">
    <w:abstractNumId w:val="0"/>
  </w:num>
  <w:num w:numId="20" w16cid:durableId="1113090343">
    <w:abstractNumId w:val="26"/>
  </w:num>
  <w:num w:numId="21" w16cid:durableId="41096601">
    <w:abstractNumId w:val="22"/>
  </w:num>
  <w:num w:numId="22" w16cid:durableId="356271270">
    <w:abstractNumId w:val="14"/>
  </w:num>
  <w:num w:numId="23" w16cid:durableId="226569516">
    <w:abstractNumId w:val="13"/>
  </w:num>
  <w:num w:numId="24" w16cid:durableId="1934776105">
    <w:abstractNumId w:val="1"/>
  </w:num>
  <w:num w:numId="25" w16cid:durableId="1055083878">
    <w:abstractNumId w:val="21"/>
  </w:num>
  <w:num w:numId="26" w16cid:durableId="1826243904">
    <w:abstractNumId w:val="4"/>
  </w:num>
  <w:num w:numId="27" w16cid:durableId="35639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148B6"/>
    <w:rsid w:val="00014BC4"/>
    <w:rsid w:val="00026B97"/>
    <w:rsid w:val="00041480"/>
    <w:rsid w:val="00054970"/>
    <w:rsid w:val="000B27FC"/>
    <w:rsid w:val="000B762B"/>
    <w:rsid w:val="000D3E0F"/>
    <w:rsid w:val="000D74B5"/>
    <w:rsid w:val="000E6B14"/>
    <w:rsid w:val="000F7AC9"/>
    <w:rsid w:val="00101137"/>
    <w:rsid w:val="0013145A"/>
    <w:rsid w:val="001342B5"/>
    <w:rsid w:val="0017117C"/>
    <w:rsid w:val="00183153"/>
    <w:rsid w:val="00193688"/>
    <w:rsid w:val="001E5B35"/>
    <w:rsid w:val="001E622D"/>
    <w:rsid w:val="0021598A"/>
    <w:rsid w:val="00227879"/>
    <w:rsid w:val="00246751"/>
    <w:rsid w:val="00253B98"/>
    <w:rsid w:val="0025634D"/>
    <w:rsid w:val="00281284"/>
    <w:rsid w:val="00282322"/>
    <w:rsid w:val="0028257E"/>
    <w:rsid w:val="002A252E"/>
    <w:rsid w:val="002A3920"/>
    <w:rsid w:val="002B4C1A"/>
    <w:rsid w:val="002C12F0"/>
    <w:rsid w:val="002C25C9"/>
    <w:rsid w:val="002C450D"/>
    <w:rsid w:val="00301195"/>
    <w:rsid w:val="0031088E"/>
    <w:rsid w:val="003244D5"/>
    <w:rsid w:val="0033007A"/>
    <w:rsid w:val="00342598"/>
    <w:rsid w:val="003437ED"/>
    <w:rsid w:val="00395DA9"/>
    <w:rsid w:val="003A7547"/>
    <w:rsid w:val="003D6793"/>
    <w:rsid w:val="00407EE3"/>
    <w:rsid w:val="00440C8B"/>
    <w:rsid w:val="00445904"/>
    <w:rsid w:val="00461CC9"/>
    <w:rsid w:val="004A2778"/>
    <w:rsid w:val="004D57F3"/>
    <w:rsid w:val="00532CA6"/>
    <w:rsid w:val="005652F3"/>
    <w:rsid w:val="005746CE"/>
    <w:rsid w:val="00586E60"/>
    <w:rsid w:val="00587A41"/>
    <w:rsid w:val="00595D3F"/>
    <w:rsid w:val="005E2F8F"/>
    <w:rsid w:val="006256A1"/>
    <w:rsid w:val="00640EAB"/>
    <w:rsid w:val="00663C82"/>
    <w:rsid w:val="00664383"/>
    <w:rsid w:val="006810DC"/>
    <w:rsid w:val="006851AC"/>
    <w:rsid w:val="00696FBB"/>
    <w:rsid w:val="006A67E1"/>
    <w:rsid w:val="006A71B9"/>
    <w:rsid w:val="006C4F5E"/>
    <w:rsid w:val="006E3172"/>
    <w:rsid w:val="007226B2"/>
    <w:rsid w:val="00747A45"/>
    <w:rsid w:val="0075097A"/>
    <w:rsid w:val="00773624"/>
    <w:rsid w:val="00777EEE"/>
    <w:rsid w:val="007C0CA2"/>
    <w:rsid w:val="007C5A3C"/>
    <w:rsid w:val="007E6CA7"/>
    <w:rsid w:val="007F2B76"/>
    <w:rsid w:val="00800956"/>
    <w:rsid w:val="00807ADF"/>
    <w:rsid w:val="0081324E"/>
    <w:rsid w:val="008150D0"/>
    <w:rsid w:val="00832081"/>
    <w:rsid w:val="00852CA9"/>
    <w:rsid w:val="00863E7F"/>
    <w:rsid w:val="00884050"/>
    <w:rsid w:val="00884BD6"/>
    <w:rsid w:val="0089742F"/>
    <w:rsid w:val="008A0857"/>
    <w:rsid w:val="008A636A"/>
    <w:rsid w:val="008F2255"/>
    <w:rsid w:val="0091132D"/>
    <w:rsid w:val="00920036"/>
    <w:rsid w:val="0092308B"/>
    <w:rsid w:val="00934584"/>
    <w:rsid w:val="00937500"/>
    <w:rsid w:val="00945F1E"/>
    <w:rsid w:val="009465DB"/>
    <w:rsid w:val="009501F7"/>
    <w:rsid w:val="00961508"/>
    <w:rsid w:val="00976491"/>
    <w:rsid w:val="00992CA4"/>
    <w:rsid w:val="009A4D42"/>
    <w:rsid w:val="009B2070"/>
    <w:rsid w:val="009B238B"/>
    <w:rsid w:val="009C6478"/>
    <w:rsid w:val="009C7026"/>
    <w:rsid w:val="009D3831"/>
    <w:rsid w:val="00A0055B"/>
    <w:rsid w:val="00A03C99"/>
    <w:rsid w:val="00A11971"/>
    <w:rsid w:val="00A36D6D"/>
    <w:rsid w:val="00A43522"/>
    <w:rsid w:val="00A455C5"/>
    <w:rsid w:val="00A71A3E"/>
    <w:rsid w:val="00A82B5B"/>
    <w:rsid w:val="00A879E9"/>
    <w:rsid w:val="00A95FBE"/>
    <w:rsid w:val="00B32F5B"/>
    <w:rsid w:val="00B5601B"/>
    <w:rsid w:val="00B64955"/>
    <w:rsid w:val="00B82C6E"/>
    <w:rsid w:val="00B84E3B"/>
    <w:rsid w:val="00BD7FA8"/>
    <w:rsid w:val="00BE6BD9"/>
    <w:rsid w:val="00BF0F00"/>
    <w:rsid w:val="00C142C4"/>
    <w:rsid w:val="00C15723"/>
    <w:rsid w:val="00C4222B"/>
    <w:rsid w:val="00C46C94"/>
    <w:rsid w:val="00C500AA"/>
    <w:rsid w:val="00C63313"/>
    <w:rsid w:val="00C73058"/>
    <w:rsid w:val="00C73629"/>
    <w:rsid w:val="00C80BE5"/>
    <w:rsid w:val="00C86BEB"/>
    <w:rsid w:val="00C91E73"/>
    <w:rsid w:val="00C92C84"/>
    <w:rsid w:val="00CA2486"/>
    <w:rsid w:val="00CA4D16"/>
    <w:rsid w:val="00CB7D82"/>
    <w:rsid w:val="00CC0629"/>
    <w:rsid w:val="00CE4BFC"/>
    <w:rsid w:val="00CE58D4"/>
    <w:rsid w:val="00D0783B"/>
    <w:rsid w:val="00D1236F"/>
    <w:rsid w:val="00D12381"/>
    <w:rsid w:val="00D14AE4"/>
    <w:rsid w:val="00D5636B"/>
    <w:rsid w:val="00D67E0A"/>
    <w:rsid w:val="00D71840"/>
    <w:rsid w:val="00D90762"/>
    <w:rsid w:val="00D9489A"/>
    <w:rsid w:val="00DA579E"/>
    <w:rsid w:val="00DC2733"/>
    <w:rsid w:val="00DF27E4"/>
    <w:rsid w:val="00E24B8E"/>
    <w:rsid w:val="00E377ED"/>
    <w:rsid w:val="00E461DF"/>
    <w:rsid w:val="00E46A77"/>
    <w:rsid w:val="00E62392"/>
    <w:rsid w:val="00E66436"/>
    <w:rsid w:val="00E7353B"/>
    <w:rsid w:val="00E924D9"/>
    <w:rsid w:val="00E92DA1"/>
    <w:rsid w:val="00E970EF"/>
    <w:rsid w:val="00F35995"/>
    <w:rsid w:val="00F41E7B"/>
    <w:rsid w:val="00F5033B"/>
    <w:rsid w:val="00F62CEB"/>
    <w:rsid w:val="00F72A61"/>
    <w:rsid w:val="00F84EA7"/>
    <w:rsid w:val="00F87598"/>
    <w:rsid w:val="00FB1347"/>
    <w:rsid w:val="00FD0696"/>
    <w:rsid w:val="00FD748E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3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904"/>
    <w:rPr>
      <w:vertAlign w:val="superscript"/>
    </w:rPr>
  </w:style>
  <w:style w:type="paragraph" w:customStyle="1" w:styleId="Standard">
    <w:name w:val="Standard"/>
    <w:rsid w:val="00E92DA1"/>
    <w:pPr>
      <w:widowControl w:val="0"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Mihok</cp:lastModifiedBy>
  <cp:revision>24</cp:revision>
  <cp:lastPrinted>2019-02-06T16:14:00Z</cp:lastPrinted>
  <dcterms:created xsi:type="dcterms:W3CDTF">2022-10-12T13:13:00Z</dcterms:created>
  <dcterms:modified xsi:type="dcterms:W3CDTF">2025-02-11T21:45:00Z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