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F9" w:rsidRDefault="00DB5AF9" w:rsidP="00DB5AF9">
      <w:pPr>
        <w:ind w:left="360" w:right="274" w:firstLine="0"/>
        <w:jc w:val="right"/>
        <w:rPr>
          <w:b/>
        </w:rPr>
      </w:pPr>
      <w:r>
        <w:rPr>
          <w:b/>
        </w:rPr>
        <w:t>Príloha č. 2</w:t>
      </w:r>
      <w:r w:rsidRPr="00587F1A">
        <w:rPr>
          <w:b/>
        </w:rPr>
        <w:t xml:space="preserve"> Výzvy – </w:t>
      </w:r>
      <w:r>
        <w:rPr>
          <w:b/>
        </w:rPr>
        <w:t>Návrh na plnenie kritérií</w:t>
      </w:r>
    </w:p>
    <w:p w:rsidR="00DB5AF9" w:rsidRPr="00191D83" w:rsidRDefault="00DB5AF9" w:rsidP="00DB5AF9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B5AF9" w:rsidRPr="00DB5AF9" w:rsidRDefault="00DB5AF9" w:rsidP="00DB5AF9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4"/>
          <w:szCs w:val="24"/>
        </w:rPr>
      </w:pPr>
      <w:r w:rsidRPr="00587F1A">
        <w:rPr>
          <w:rFonts w:asciiTheme="minorHAnsi" w:hAnsiTheme="minorHAnsi" w:cs="Arial"/>
          <w:b/>
          <w:smallCaps/>
        </w:rPr>
        <w:t xml:space="preserve"> </w:t>
      </w:r>
      <w:r w:rsidRPr="00DB5AF9">
        <w:rPr>
          <w:b/>
          <w:sz w:val="24"/>
          <w:szCs w:val="24"/>
        </w:rPr>
        <w:t>Rekonštrukcia budovy odborného výcviku Čierny orol, Hlavné námestie 19, 979 01 Rimavská Sobota – ochrana proti holubom na budove odborného výcviku</w:t>
      </w:r>
    </w:p>
    <w:p w:rsidR="00DB5AF9" w:rsidRPr="00DF5D54" w:rsidRDefault="00DB5AF9" w:rsidP="00DB5AF9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/>
        </w:rPr>
      </w:pP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B5AF9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6A4789" w:rsidRDefault="006A478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</w:p>
    <w:tbl>
      <w:tblPr>
        <w:tblStyle w:val="Mriekatabuky"/>
        <w:tblW w:w="8217" w:type="dxa"/>
        <w:tblLook w:val="04A0" w:firstRow="1" w:lastRow="0" w:firstColumn="1" w:lastColumn="0" w:noHBand="0" w:noVBand="1"/>
      </w:tblPr>
      <w:tblGrid>
        <w:gridCol w:w="3823"/>
        <w:gridCol w:w="2268"/>
        <w:gridCol w:w="2126"/>
      </w:tblGrid>
      <w:tr w:rsidR="006A4789" w:rsidTr="006A4789">
        <w:tc>
          <w:tcPr>
            <w:tcW w:w="3823" w:type="dxa"/>
            <w:vAlign w:val="center"/>
          </w:tcPr>
          <w:p w:rsidR="006A4789" w:rsidRPr="006A4789" w:rsidRDefault="006A4789" w:rsidP="006A478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/>
                <w:b/>
              </w:rPr>
            </w:pPr>
            <w:r w:rsidRPr="006A4789">
              <w:rPr>
                <w:rFonts w:asciiTheme="minorHAnsi" w:hAnsiTheme="minorHAnsi"/>
                <w:b/>
              </w:rPr>
              <w:t>Názov</w:t>
            </w:r>
          </w:p>
        </w:tc>
        <w:tc>
          <w:tcPr>
            <w:tcW w:w="2268" w:type="dxa"/>
            <w:vAlign w:val="center"/>
          </w:tcPr>
          <w:p w:rsidR="006A4789" w:rsidRPr="006A4789" w:rsidRDefault="006A4789" w:rsidP="006A478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/>
                <w:b/>
              </w:rPr>
            </w:pPr>
            <w:r w:rsidRPr="006A4789">
              <w:rPr>
                <w:rFonts w:asciiTheme="minorHAnsi" w:hAnsiTheme="minorHAnsi"/>
                <w:b/>
              </w:rPr>
              <w:t>Celková cena bez DPH v EUR</w:t>
            </w:r>
          </w:p>
        </w:tc>
        <w:tc>
          <w:tcPr>
            <w:tcW w:w="2126" w:type="dxa"/>
            <w:vAlign w:val="center"/>
          </w:tcPr>
          <w:p w:rsidR="006A4789" w:rsidRPr="006A4789" w:rsidRDefault="006A4789" w:rsidP="006A478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Theme="minorHAnsi" w:hAnsiTheme="minorHAnsi"/>
                <w:b/>
              </w:rPr>
            </w:pPr>
            <w:r w:rsidRPr="006A4789">
              <w:rPr>
                <w:rFonts w:asciiTheme="minorHAnsi" w:hAnsiTheme="minorHAnsi"/>
                <w:b/>
              </w:rPr>
              <w:t xml:space="preserve">Celková cena </w:t>
            </w:r>
            <w:r w:rsidRPr="006A4789">
              <w:rPr>
                <w:rFonts w:asciiTheme="minorHAnsi" w:hAnsiTheme="minorHAnsi"/>
                <w:b/>
              </w:rPr>
              <w:t>s</w:t>
            </w:r>
            <w:r w:rsidRPr="006A4789">
              <w:rPr>
                <w:rFonts w:asciiTheme="minorHAnsi" w:hAnsiTheme="minorHAnsi"/>
                <w:b/>
              </w:rPr>
              <w:t xml:space="preserve"> DPH v EUR</w:t>
            </w:r>
          </w:p>
        </w:tc>
      </w:tr>
      <w:tr w:rsidR="006A4789" w:rsidTr="006A4789">
        <w:tc>
          <w:tcPr>
            <w:tcW w:w="3823" w:type="dxa"/>
          </w:tcPr>
          <w:p w:rsidR="006A4789" w:rsidRPr="006A4789" w:rsidRDefault="006A4789" w:rsidP="006A4789">
            <w:pPr>
              <w:pStyle w:val="Odsekzoznamu"/>
              <w:numPr>
                <w:ilvl w:val="0"/>
                <w:numId w:val="3"/>
              </w:numPr>
              <w:tabs>
                <w:tab w:val="num" w:pos="2280"/>
              </w:tabs>
              <w:autoSpaceDE w:val="0"/>
              <w:autoSpaceDN w:val="0"/>
              <w:adjustRightInd w:val="0"/>
              <w:ind w:left="306" w:right="0" w:hanging="284"/>
              <w:jc w:val="left"/>
              <w:rPr>
                <w:rFonts w:asciiTheme="minorHAnsi" w:hAnsiTheme="minorHAnsi"/>
              </w:rPr>
            </w:pPr>
            <w:r w:rsidRPr="006A4789">
              <w:rPr>
                <w:rFonts w:asciiTheme="minorHAnsi" w:hAnsiTheme="minorHAnsi"/>
              </w:rPr>
              <w:t>Rozpočet k priečeliu severn</w:t>
            </w:r>
            <w:r>
              <w:rPr>
                <w:rFonts w:asciiTheme="minorHAnsi" w:hAnsiTheme="minorHAnsi"/>
              </w:rPr>
              <w:t>e</w:t>
            </w:r>
            <w:r w:rsidRPr="006A4789">
              <w:rPr>
                <w:rFonts w:asciiTheme="minorHAnsi" w:hAnsiTheme="minorHAnsi"/>
              </w:rPr>
              <w:t>j strany</w:t>
            </w:r>
          </w:p>
        </w:tc>
        <w:tc>
          <w:tcPr>
            <w:tcW w:w="2268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  <w:tr w:rsidR="006A4789" w:rsidTr="006A4789">
        <w:tc>
          <w:tcPr>
            <w:tcW w:w="3823" w:type="dxa"/>
          </w:tcPr>
          <w:p w:rsidR="006A4789" w:rsidRPr="006A4789" w:rsidRDefault="006A4789" w:rsidP="006A4789">
            <w:pPr>
              <w:pStyle w:val="Odsekzoznamu"/>
              <w:numPr>
                <w:ilvl w:val="0"/>
                <w:numId w:val="3"/>
              </w:numPr>
              <w:tabs>
                <w:tab w:val="num" w:pos="2280"/>
              </w:tabs>
              <w:autoSpaceDE w:val="0"/>
              <w:autoSpaceDN w:val="0"/>
              <w:adjustRightInd w:val="0"/>
              <w:ind w:left="306" w:right="0" w:hanging="306"/>
              <w:jc w:val="left"/>
              <w:rPr>
                <w:rFonts w:asciiTheme="minorHAnsi" w:hAnsiTheme="minorHAnsi"/>
              </w:rPr>
            </w:pPr>
            <w:r w:rsidRPr="006A4789">
              <w:rPr>
                <w:rFonts w:asciiTheme="minorHAnsi" w:hAnsiTheme="minorHAnsi"/>
              </w:rPr>
              <w:t>Rozpočet k priečeliu západnej strany</w:t>
            </w:r>
          </w:p>
        </w:tc>
        <w:tc>
          <w:tcPr>
            <w:tcW w:w="2268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  <w:tr w:rsidR="006A4789" w:rsidTr="006A4789">
        <w:tc>
          <w:tcPr>
            <w:tcW w:w="3823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  <w:r w:rsidRPr="006A4789">
              <w:rPr>
                <w:rFonts w:asciiTheme="minorHAnsi" w:hAnsiTheme="minorHAnsi"/>
              </w:rPr>
              <w:t xml:space="preserve">3) </w:t>
            </w:r>
            <w:r>
              <w:rPr>
                <w:rFonts w:asciiTheme="minorHAnsi" w:hAnsiTheme="minorHAnsi"/>
              </w:rPr>
              <w:t xml:space="preserve"> </w:t>
            </w:r>
            <w:r w:rsidRPr="006A4789">
              <w:rPr>
                <w:rFonts w:asciiTheme="minorHAnsi" w:hAnsiTheme="minorHAnsi"/>
              </w:rPr>
              <w:t>Rozpočet k pôdorysu strechy</w:t>
            </w:r>
          </w:p>
        </w:tc>
        <w:tc>
          <w:tcPr>
            <w:tcW w:w="2268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6A4789" w:rsidRDefault="006A4789" w:rsidP="00DB5AF9">
            <w:pPr>
              <w:tabs>
                <w:tab w:val="num" w:pos="2280"/>
              </w:tabs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Theme="minorHAnsi" w:hAnsiTheme="minorHAnsi"/>
              </w:rPr>
            </w:pPr>
          </w:p>
        </w:tc>
      </w:tr>
    </w:tbl>
    <w:p w:rsidR="006A4789" w:rsidRDefault="006A478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</w:p>
    <w:p w:rsidR="006A4789" w:rsidRDefault="006A478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</w:p>
    <w:p w:rsidR="00DB5AF9" w:rsidRPr="00397C63" w:rsidRDefault="00DB5AF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  <w:r w:rsidRPr="00523701">
        <w:rPr>
          <w:rFonts w:asciiTheme="minorHAnsi" w:hAnsiTheme="minorHAnsi"/>
        </w:rPr>
        <w:t>celková</w:t>
      </w:r>
      <w:r>
        <w:rPr>
          <w:rFonts w:asciiTheme="minorHAnsi" w:hAnsiTheme="minorHAnsi"/>
        </w:rPr>
        <w:t xml:space="preserve"> cena za </w:t>
      </w:r>
      <w:r w:rsidR="006A4789">
        <w:rPr>
          <w:rFonts w:asciiTheme="minorHAnsi" w:hAnsiTheme="minorHAnsi"/>
        </w:rPr>
        <w:t xml:space="preserve">celý </w:t>
      </w:r>
      <w:r>
        <w:rPr>
          <w:rFonts w:asciiTheme="minorHAnsi" w:hAnsiTheme="minorHAnsi"/>
        </w:rPr>
        <w:t>predmet zákazky v EUR bez</w:t>
      </w:r>
      <w:r w:rsidRPr="00523701">
        <w:rPr>
          <w:rFonts w:asciiTheme="minorHAnsi" w:hAnsiTheme="minorHAnsi"/>
        </w:rPr>
        <w:t>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:rsidR="00DB5AF9" w:rsidRPr="00397C63" w:rsidRDefault="00DB5AF9" w:rsidP="00DB5AF9">
      <w:pPr>
        <w:ind w:right="0"/>
        <w:jc w:val="left"/>
        <w:rPr>
          <w:rFonts w:asciiTheme="minorHAnsi" w:hAnsiTheme="minorHAnsi"/>
        </w:rPr>
      </w:pPr>
    </w:p>
    <w:p w:rsidR="00DB5AF9" w:rsidRPr="00397C63" w:rsidRDefault="00DB5AF9" w:rsidP="00DB5AF9">
      <w:pPr>
        <w:ind w:right="0"/>
        <w:jc w:val="left"/>
        <w:rPr>
          <w:rFonts w:asciiTheme="minorHAnsi" w:hAnsiTheme="minorHAnsi"/>
        </w:rPr>
      </w:pPr>
      <w:r w:rsidRPr="00397C63">
        <w:rPr>
          <w:rFonts w:asciiTheme="minorHAnsi" w:hAnsiTheme="minorHAnsi"/>
        </w:rPr>
        <w:t>DPH v EUR:</w:t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:rsidR="00DB5AF9" w:rsidRPr="00397C63" w:rsidRDefault="00DB5AF9" w:rsidP="00DB5AF9">
      <w:pPr>
        <w:ind w:right="0"/>
        <w:jc w:val="left"/>
        <w:rPr>
          <w:rFonts w:asciiTheme="minorHAnsi" w:hAnsiTheme="minorHAnsi"/>
        </w:rPr>
      </w:pPr>
    </w:p>
    <w:p w:rsidR="00DB5AF9" w:rsidRPr="00397C63" w:rsidRDefault="00DB5AF9" w:rsidP="00DB5AF9">
      <w:pPr>
        <w:ind w:right="0"/>
        <w:jc w:val="left"/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</w:t>
      </w:r>
      <w:r w:rsidR="006A4789">
        <w:rPr>
          <w:rFonts w:asciiTheme="minorHAnsi" w:hAnsiTheme="minorHAnsi"/>
          <w:b/>
        </w:rPr>
        <w:t xml:space="preserve">celý </w:t>
      </w:r>
      <w:r w:rsidRPr="00397C63">
        <w:rPr>
          <w:rFonts w:asciiTheme="minorHAnsi" w:hAnsiTheme="minorHAnsi"/>
          <w:b/>
        </w:rPr>
        <w:t xml:space="preserve">predmet zákazky v EUR s DPH </w:t>
      </w:r>
    </w:p>
    <w:p w:rsidR="00DB5AF9" w:rsidRPr="00397C63" w:rsidRDefault="00DB5AF9" w:rsidP="00DB5AF9">
      <w:pPr>
        <w:ind w:right="0"/>
        <w:jc w:val="left"/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(návrh na plnenie kritérií):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</w:t>
      </w:r>
      <w:r>
        <w:rPr>
          <w:rFonts w:asciiTheme="minorHAnsi" w:hAnsiTheme="minorHAnsi"/>
          <w:b/>
        </w:rPr>
        <w:t>...</w:t>
      </w:r>
      <w:r w:rsidRPr="00397C63">
        <w:rPr>
          <w:rFonts w:asciiTheme="minorHAnsi" w:hAnsiTheme="minorHAnsi"/>
          <w:b/>
        </w:rPr>
        <w:t>...........................................................</w:t>
      </w:r>
    </w:p>
    <w:p w:rsidR="00DB5AF9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B5AF9" w:rsidRPr="00DC45C4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B5AF9" w:rsidRPr="00DC45C4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B5AF9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  <w:bookmarkStart w:id="0" w:name="_GoBack"/>
      <w:bookmarkEnd w:id="0"/>
    </w:p>
    <w:p w:rsidR="00DB5AF9" w:rsidRDefault="00DB5AF9" w:rsidP="00F22530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  <w:b/>
          <w:i/>
          <w:sz w:val="20"/>
          <w:szCs w:val="20"/>
        </w:rPr>
      </w:pPr>
    </w:p>
    <w:p w:rsidR="00DB5AF9" w:rsidRPr="00191D83" w:rsidRDefault="00DB5AF9" w:rsidP="00DB5AF9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B5AF9" w:rsidRPr="00191D83" w:rsidRDefault="00DB5AF9" w:rsidP="00DB5AF9">
      <w:pPr>
        <w:ind w:left="2160" w:hanging="2160"/>
        <w:rPr>
          <w:rFonts w:asciiTheme="minorHAnsi" w:hAnsiTheme="minorHAnsi"/>
        </w:rPr>
      </w:pPr>
    </w:p>
    <w:p w:rsidR="00DB5AF9" w:rsidRDefault="00DB5AF9" w:rsidP="00577D47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</w:t>
      </w:r>
    </w:p>
    <w:p w:rsidR="00DB5AF9" w:rsidRDefault="00DB5AF9" w:rsidP="00DB5AF9">
      <w:pPr>
        <w:ind w:left="2160" w:hanging="2160"/>
        <w:rPr>
          <w:rFonts w:asciiTheme="minorHAnsi" w:hAnsiTheme="minorHAnsi"/>
        </w:rPr>
      </w:pPr>
    </w:p>
    <w:p w:rsidR="00DB5AF9" w:rsidRPr="00191D83" w:rsidRDefault="00DB5AF9" w:rsidP="00DB5AF9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:rsidR="00DB5AF9" w:rsidRPr="00191D83" w:rsidRDefault="00DB5AF9" w:rsidP="00DB5AF9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B5AF9" w:rsidRPr="00191D83" w:rsidRDefault="00DB5AF9" w:rsidP="00DB5AF9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B5AF9" w:rsidRPr="00191D83" w:rsidRDefault="00DB5AF9" w:rsidP="00DB5AF9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B5AF9" w:rsidRPr="00D35CE5" w:rsidRDefault="00DB5AF9" w:rsidP="00DB5AF9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B5AF9" w:rsidRPr="00D35CE5" w:rsidRDefault="00DB5AF9" w:rsidP="00DB5AF9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musí byť </w:t>
      </w:r>
      <w:r>
        <w:rPr>
          <w:rFonts w:asciiTheme="minorHAnsi" w:hAnsiTheme="minorHAnsi" w:cs="Arial"/>
          <w:i/>
        </w:rPr>
        <w:t>v zmysle bodu č. 11</w:t>
      </w:r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DB5AF9" w:rsidRDefault="00DB5AF9" w:rsidP="00DB5AF9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p w:rsidR="00945882" w:rsidRDefault="00F22530" w:rsidP="00577D47">
      <w:pPr>
        <w:ind w:left="0" w:firstLine="0"/>
      </w:pPr>
    </w:p>
    <w:sectPr w:rsidR="00945882" w:rsidSect="00F22530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74E3C47"/>
    <w:multiLevelType w:val="hybridMultilevel"/>
    <w:tmpl w:val="098CA10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4556"/>
    <w:multiLevelType w:val="hybridMultilevel"/>
    <w:tmpl w:val="874271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F9"/>
    <w:rsid w:val="00577D47"/>
    <w:rsid w:val="006A4789"/>
    <w:rsid w:val="00724ED6"/>
    <w:rsid w:val="00D16EB3"/>
    <w:rsid w:val="00DB5AF9"/>
    <w:rsid w:val="00F2253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2276"/>
  <w15:chartTrackingRefBased/>
  <w15:docId w15:val="{6ECBD852-BB89-4FB6-9EE3-1E465069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5AF9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B5AF9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B5AF9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B5AF9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B5AF9"/>
    <w:rPr>
      <w:rFonts w:ascii="Calibri" w:eastAsia="Calibri" w:hAnsi="Calibri" w:cs="Calibri"/>
      <w:color w:val="000000"/>
      <w:lang w:eastAsia="sk-SK"/>
    </w:rPr>
  </w:style>
  <w:style w:type="table" w:styleId="Mriekatabuky">
    <w:name w:val="Table Grid"/>
    <w:basedOn w:val="Normlnatabuka"/>
    <w:uiPriority w:val="39"/>
    <w:rsid w:val="006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5</cp:revision>
  <dcterms:created xsi:type="dcterms:W3CDTF">2018-06-05T07:57:00Z</dcterms:created>
  <dcterms:modified xsi:type="dcterms:W3CDTF">2018-06-05T08:38:00Z</dcterms:modified>
</cp:coreProperties>
</file>