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190804BD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CPTN-MP-2025/000718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16CFC21F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5C527D">
        <w:rPr>
          <w:rFonts w:ascii="Arial Narrow" w:hAnsi="Arial Narrow" w:cs="Helvetica"/>
          <w:b/>
          <w:sz w:val="22"/>
          <w:szCs w:val="22"/>
          <w:shd w:val="clear" w:color="auto" w:fill="FFFFFF"/>
        </w:rPr>
        <w:t>Trenčín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5C527D">
        <w:rPr>
          <w:rFonts w:ascii="Arial Narrow" w:hAnsi="Arial Narrow" w:cs="Helvetica"/>
          <w:b/>
          <w:sz w:val="22"/>
          <w:szCs w:val="22"/>
          <w:shd w:val="clear" w:color="auto" w:fill="FFFFFF"/>
        </w:rPr>
        <w:t>Opatovce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ID zákazky </w:t>
      </w:r>
      <w:r w:rsidR="00930860">
        <w:rPr>
          <w:rFonts w:ascii="Arial Narrow" w:hAnsi="Arial Narrow" w:cs="Helvetica"/>
          <w:b/>
          <w:sz w:val="22"/>
          <w:szCs w:val="22"/>
          <w:shd w:val="clear" w:color="auto" w:fill="FFFFFF"/>
        </w:rPr>
        <w:t>64</w:t>
      </w:r>
      <w:r w:rsidR="005C527D">
        <w:rPr>
          <w:rFonts w:ascii="Arial Narrow" w:hAnsi="Arial Narrow" w:cs="Helvetica"/>
          <w:b/>
          <w:sz w:val="22"/>
          <w:szCs w:val="22"/>
          <w:shd w:val="clear" w:color="auto" w:fill="FFFFFF"/>
        </w:rPr>
        <w:t>442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>rílohe č. 2. Poskytovateľ predloží vážny lístok za preukázateľne zlikvidovaný odpad na 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  <w:bookmarkStart w:id="0" w:name="_GoBack"/>
      <w:bookmarkEnd w:id="0"/>
    </w:p>
    <w:p w14:paraId="36D7CACD" w14:textId="7F18D04F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  <w:r w:rsidR="00EE2B59" w:rsidRPr="006E7031">
        <w:rPr>
          <w:rFonts w:ascii="Arial Narrow" w:hAnsi="Arial Narrow" w:cs="Calibri"/>
        </w:rPr>
        <w:br w:type="page"/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lastRenderedPageBreak/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13BBB78A" w14:textId="77777777" w:rsidR="00D822B3" w:rsidRDefault="00D822B3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A78E" w14:textId="77777777" w:rsidR="00E30F59" w:rsidRDefault="00E30F59" w:rsidP="00831301">
      <w:pPr>
        <w:spacing w:after="0" w:line="240" w:lineRule="auto"/>
      </w:pPr>
      <w:r>
        <w:separator/>
      </w:r>
    </w:p>
  </w:endnote>
  <w:endnote w:type="continuationSeparator" w:id="0">
    <w:p w14:paraId="59664353" w14:textId="77777777" w:rsidR="00E30F59" w:rsidRDefault="00E30F59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7C0B83CA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C91F91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287C" w14:textId="77777777" w:rsidR="00E30F59" w:rsidRDefault="00E30F59" w:rsidP="00831301">
      <w:pPr>
        <w:spacing w:after="0" w:line="240" w:lineRule="auto"/>
      </w:pPr>
      <w:r>
        <w:separator/>
      </w:r>
    </w:p>
  </w:footnote>
  <w:footnote w:type="continuationSeparator" w:id="0">
    <w:p w14:paraId="428A27E9" w14:textId="77777777" w:rsidR="00E30F59" w:rsidRDefault="00E30F59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A3077"/>
    <w:rsid w:val="001A3E7A"/>
    <w:rsid w:val="001C7F45"/>
    <w:rsid w:val="001E4939"/>
    <w:rsid w:val="00205273"/>
    <w:rsid w:val="002361E0"/>
    <w:rsid w:val="00247A1B"/>
    <w:rsid w:val="00263588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8221A"/>
    <w:rsid w:val="00387C85"/>
    <w:rsid w:val="003A0960"/>
    <w:rsid w:val="003B39A7"/>
    <w:rsid w:val="003C3368"/>
    <w:rsid w:val="003E3A1A"/>
    <w:rsid w:val="00403C79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F3784"/>
    <w:rsid w:val="00C0434B"/>
    <w:rsid w:val="00C1435C"/>
    <w:rsid w:val="00C235C2"/>
    <w:rsid w:val="00C2750E"/>
    <w:rsid w:val="00C4496B"/>
    <w:rsid w:val="00C6751E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50</cp:revision>
  <cp:lastPrinted>2023-10-02T08:36:00Z</cp:lastPrinted>
  <dcterms:created xsi:type="dcterms:W3CDTF">2024-02-21T07:05:00Z</dcterms:created>
  <dcterms:modified xsi:type="dcterms:W3CDTF">2025-04-01T10:33:00Z</dcterms:modified>
</cp:coreProperties>
</file>