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09E4" w14:textId="7937203D" w:rsidR="007E11A2" w:rsidRPr="00F55C1D" w:rsidRDefault="007E11A2" w:rsidP="00F55C1D">
      <w:pPr>
        <w:spacing w:line="240" w:lineRule="atLeast"/>
        <w:ind w:right="-39"/>
        <w:rPr>
          <w:rFonts w:ascii="Garamond" w:hAnsi="Garamond"/>
          <w:b/>
          <w:sz w:val="20"/>
          <w:szCs w:val="20"/>
        </w:rPr>
      </w:pPr>
      <w:r w:rsidRPr="00F55C1D">
        <w:rPr>
          <w:rFonts w:ascii="Garamond" w:hAnsi="Garamond"/>
          <w:b/>
          <w:color w:val="0070C0"/>
          <w:sz w:val="20"/>
          <w:szCs w:val="20"/>
        </w:rPr>
        <w:t xml:space="preserve">Príloha č. </w:t>
      </w:r>
      <w:r w:rsidR="00020BBD">
        <w:rPr>
          <w:rFonts w:ascii="Garamond" w:hAnsi="Garamond"/>
          <w:b/>
          <w:color w:val="0070C0"/>
          <w:sz w:val="20"/>
          <w:szCs w:val="20"/>
        </w:rPr>
        <w:t>2</w:t>
      </w:r>
    </w:p>
    <w:p w14:paraId="5FF3801E" w14:textId="5C7C709F" w:rsidR="00FB6822" w:rsidRPr="0080561E" w:rsidRDefault="0040648E" w:rsidP="00FB6822">
      <w:pPr>
        <w:spacing w:line="240" w:lineRule="atLeast"/>
        <w:ind w:right="-39"/>
        <w:jc w:val="both"/>
        <w:rPr>
          <w:b/>
        </w:rPr>
      </w:pPr>
      <w:r w:rsidRPr="00B84AC6">
        <w:rPr>
          <w:b/>
          <w:sz w:val="20"/>
          <w:szCs w:val="20"/>
        </w:rPr>
        <w:t xml:space="preserve">Dotazník uchádzača - </w:t>
      </w:r>
      <w:r w:rsidR="00FB6822" w:rsidRPr="00B84AC6">
        <w:rPr>
          <w:b/>
          <w:sz w:val="20"/>
          <w:szCs w:val="20"/>
        </w:rPr>
        <w:t>NÁVRH NA PLNENIE KRITÉRIÍ</w:t>
      </w:r>
      <w:r w:rsidR="005F03D5">
        <w:rPr>
          <w:b/>
        </w:rPr>
        <w:t xml:space="preserve"> </w:t>
      </w:r>
      <w:r>
        <w:rPr>
          <w:b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7E11A2" w:rsidRPr="00D34495" w14:paraId="73B20E19" w14:textId="77777777" w:rsidTr="00434268">
        <w:tc>
          <w:tcPr>
            <w:tcW w:w="4957" w:type="dxa"/>
          </w:tcPr>
          <w:p w14:paraId="4345EB52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6C618180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1EFB665E" w14:textId="77777777" w:rsidTr="00434268">
        <w:tc>
          <w:tcPr>
            <w:tcW w:w="4957" w:type="dxa"/>
          </w:tcPr>
          <w:p w14:paraId="10D3C601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275FBDA7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57DB8C0A" w14:textId="77777777" w:rsidTr="00434268">
        <w:tc>
          <w:tcPr>
            <w:tcW w:w="4957" w:type="dxa"/>
          </w:tcPr>
          <w:p w14:paraId="2D92EE8E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78D67F38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5B8416F9" w14:textId="77777777" w:rsidTr="00434268">
        <w:tc>
          <w:tcPr>
            <w:tcW w:w="4957" w:type="dxa"/>
          </w:tcPr>
          <w:p w14:paraId="636CA4EF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006088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0BE97765" w14:textId="77777777" w:rsidTr="00434268">
        <w:tc>
          <w:tcPr>
            <w:tcW w:w="4957" w:type="dxa"/>
          </w:tcPr>
          <w:p w14:paraId="1C984FD9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1A3C071C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3B645118" w14:textId="77777777" w:rsidTr="00434268">
        <w:tc>
          <w:tcPr>
            <w:tcW w:w="4957" w:type="dxa"/>
          </w:tcPr>
          <w:p w14:paraId="16961657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16E3C75F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14AF765C" w14:textId="77777777" w:rsidTr="00434268">
        <w:tc>
          <w:tcPr>
            <w:tcW w:w="4957" w:type="dxa"/>
          </w:tcPr>
          <w:p w14:paraId="1287C76F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7DFAAC43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6D2B3268" w14:textId="77777777" w:rsidTr="00434268">
        <w:tc>
          <w:tcPr>
            <w:tcW w:w="4957" w:type="dxa"/>
          </w:tcPr>
          <w:p w14:paraId="2A5C702E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37485680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065797FC" w14:textId="077ACCBB" w:rsidR="00FB6822" w:rsidRPr="00E067BD" w:rsidRDefault="00FB6822" w:rsidP="00E067BD">
      <w:pPr>
        <w:spacing w:after="0" w:line="240" w:lineRule="auto"/>
        <w:rPr>
          <w:b/>
          <w:sz w:val="24"/>
        </w:rPr>
      </w:pPr>
    </w:p>
    <w:tbl>
      <w:tblPr>
        <w:tblStyle w:val="Mriekatabuky"/>
        <w:tblW w:w="0" w:type="auto"/>
        <w:tblInd w:w="119" w:type="dxa"/>
        <w:tblLook w:val="04A0" w:firstRow="1" w:lastRow="0" w:firstColumn="1" w:lastColumn="0" w:noHBand="0" w:noVBand="1"/>
      </w:tblPr>
      <w:tblGrid>
        <w:gridCol w:w="936"/>
        <w:gridCol w:w="5606"/>
        <w:gridCol w:w="2824"/>
        <w:gridCol w:w="2816"/>
        <w:gridCol w:w="2825"/>
      </w:tblGrid>
      <w:tr w:rsidR="007324F0" w14:paraId="353BAE4F" w14:textId="77777777" w:rsidTr="00F4358E">
        <w:tc>
          <w:tcPr>
            <w:tcW w:w="936" w:type="dxa"/>
          </w:tcPr>
          <w:p w14:paraId="19528BE0" w14:textId="53E703F2" w:rsidR="007324F0" w:rsidRPr="007324F0" w:rsidRDefault="00747E45" w:rsidP="00FB6822">
            <w:pPr>
              <w:rPr>
                <w:rFonts w:ascii="Garamond" w:hAnsi="Garamond"/>
                <w:b/>
                <w:sz w:val="24"/>
              </w:rPr>
            </w:pPr>
            <w:bookmarkStart w:id="0" w:name="_Hlk189672055"/>
            <w:r>
              <w:rPr>
                <w:rFonts w:ascii="Garamond" w:hAnsi="Garamond"/>
                <w:b/>
                <w:sz w:val="24"/>
              </w:rPr>
              <w:t>Časť</w:t>
            </w:r>
          </w:p>
        </w:tc>
        <w:tc>
          <w:tcPr>
            <w:tcW w:w="5606" w:type="dxa"/>
          </w:tcPr>
          <w:p w14:paraId="5751DF65" w14:textId="7DA40B4D" w:rsidR="007324F0" w:rsidRPr="007324F0" w:rsidRDefault="007324F0" w:rsidP="00FB6822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Názov</w:t>
            </w:r>
          </w:p>
        </w:tc>
        <w:tc>
          <w:tcPr>
            <w:tcW w:w="2824" w:type="dxa"/>
          </w:tcPr>
          <w:p w14:paraId="7AF40D3D" w14:textId="72C3EE8D" w:rsidR="007324F0" w:rsidRPr="007324F0" w:rsidRDefault="007324F0" w:rsidP="00FB6822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Suma bez DPH</w:t>
            </w:r>
          </w:p>
        </w:tc>
        <w:tc>
          <w:tcPr>
            <w:tcW w:w="2816" w:type="dxa"/>
          </w:tcPr>
          <w:p w14:paraId="7FACDE68" w14:textId="0C92C40A" w:rsidR="007324F0" w:rsidRPr="007324F0" w:rsidRDefault="007324F0" w:rsidP="00FB6822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DPH</w:t>
            </w:r>
          </w:p>
        </w:tc>
        <w:tc>
          <w:tcPr>
            <w:tcW w:w="2825" w:type="dxa"/>
          </w:tcPr>
          <w:p w14:paraId="25DD48B9" w14:textId="77F43EF7" w:rsidR="007324F0" w:rsidRPr="007324F0" w:rsidRDefault="007324F0" w:rsidP="00FB6822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Suma s DPH</w:t>
            </w:r>
          </w:p>
        </w:tc>
      </w:tr>
      <w:tr w:rsidR="007324F0" w14:paraId="1D448106" w14:textId="77777777" w:rsidTr="00F4358E">
        <w:tc>
          <w:tcPr>
            <w:tcW w:w="936" w:type="dxa"/>
          </w:tcPr>
          <w:p w14:paraId="62653E23" w14:textId="6B57497E" w:rsidR="007324F0" w:rsidRPr="00F4358E" w:rsidRDefault="007324F0" w:rsidP="00F4358E">
            <w:pPr>
              <w:pStyle w:val="Odsekzoznamu"/>
              <w:numPr>
                <w:ilvl w:val="0"/>
                <w:numId w:val="6"/>
              </w:num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4D9AE304" w14:textId="359A7C07" w:rsidR="007324F0" w:rsidRPr="007324F0" w:rsidRDefault="007324F0" w:rsidP="00F4358E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 w:rsidRPr="007324F0">
              <w:rPr>
                <w:rFonts w:ascii="Garamond" w:hAnsi="Garamond"/>
                <w:bCs/>
                <w:sz w:val="24"/>
              </w:rPr>
              <w:t xml:space="preserve">Vypracovanie </w:t>
            </w:r>
            <w:r>
              <w:rPr>
                <w:rFonts w:ascii="Garamond" w:hAnsi="Garamond"/>
                <w:bCs/>
                <w:sz w:val="24"/>
              </w:rPr>
              <w:t>Štúdie realizovateľnosti </w:t>
            </w:r>
            <w:r w:rsidR="00F4358E">
              <w:rPr>
                <w:rFonts w:ascii="Garamond" w:hAnsi="Garamond"/>
                <w:bCs/>
                <w:sz w:val="24"/>
              </w:rPr>
              <w:t>pre projekt „</w:t>
            </w:r>
            <w:r w:rsidRPr="002F3DD1">
              <w:rPr>
                <w:rFonts w:ascii="Garamond" w:hAnsi="Garamond"/>
                <w:b/>
              </w:rPr>
              <w:t>Nákup veľkokapacitných obojsmerných električiek</w:t>
            </w:r>
            <w:r w:rsidR="00F4358E"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4A03F3E2" w14:textId="77777777" w:rsidR="007324F0" w:rsidRPr="007324F0" w:rsidRDefault="007324F0" w:rsidP="00FB6822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14B0005E" w14:textId="77777777" w:rsidR="007324F0" w:rsidRPr="007324F0" w:rsidRDefault="007324F0" w:rsidP="00FB6822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3F0AD2C4" w14:textId="77777777" w:rsidR="007324F0" w:rsidRPr="007324F0" w:rsidRDefault="007324F0" w:rsidP="00FB6822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454670" w14:paraId="18588767" w14:textId="77777777" w:rsidTr="00F4358E">
        <w:tc>
          <w:tcPr>
            <w:tcW w:w="936" w:type="dxa"/>
          </w:tcPr>
          <w:p w14:paraId="7BF04FBB" w14:textId="77777777" w:rsidR="00454670" w:rsidRPr="00F4358E" w:rsidRDefault="00454670" w:rsidP="00F4358E">
            <w:pPr>
              <w:pStyle w:val="Odsekzoznamu"/>
              <w:numPr>
                <w:ilvl w:val="0"/>
                <w:numId w:val="6"/>
              </w:num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4D2FBE28" w14:textId="52BD31F2" w:rsidR="00454670" w:rsidRPr="007324F0" w:rsidRDefault="00454670" w:rsidP="00F4358E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Vypracovanie CBA spolu s textovou časťou pre vybraný variant pre projekt „</w:t>
            </w:r>
            <w:r w:rsidRPr="002F3DD1">
              <w:rPr>
                <w:rFonts w:ascii="Garamond" w:hAnsi="Garamond"/>
                <w:b/>
              </w:rPr>
              <w:t>Nákup veľkokapacitných obojsmerných električiek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3B9EDCDF" w14:textId="77777777" w:rsidR="00454670" w:rsidRPr="007324F0" w:rsidRDefault="00454670" w:rsidP="00FB6822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588C36C5" w14:textId="77777777" w:rsidR="00454670" w:rsidRPr="007324F0" w:rsidRDefault="00454670" w:rsidP="00FB6822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161E02A7" w14:textId="77777777" w:rsidR="00454670" w:rsidRPr="007324F0" w:rsidRDefault="00454670" w:rsidP="00FB6822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F4358E" w14:paraId="7FB64BB6" w14:textId="77777777" w:rsidTr="00F4358E">
        <w:tc>
          <w:tcPr>
            <w:tcW w:w="936" w:type="dxa"/>
          </w:tcPr>
          <w:p w14:paraId="67F200EC" w14:textId="7718078A" w:rsidR="00F4358E" w:rsidRPr="00F4358E" w:rsidRDefault="00F4358E" w:rsidP="00F4358E">
            <w:pPr>
              <w:pStyle w:val="Odsekzoznamu"/>
              <w:numPr>
                <w:ilvl w:val="0"/>
                <w:numId w:val="6"/>
              </w:numPr>
              <w:rPr>
                <w:rFonts w:ascii="Garamond" w:hAnsi="Garamond"/>
                <w:bCs/>
                <w:sz w:val="24"/>
              </w:rPr>
            </w:pPr>
            <w:r w:rsidRPr="00F4358E">
              <w:rPr>
                <w:rFonts w:ascii="Garamond" w:hAnsi="Garamond"/>
                <w:bCs/>
                <w:sz w:val="24"/>
              </w:rPr>
              <w:t xml:space="preserve"> </w:t>
            </w:r>
          </w:p>
        </w:tc>
        <w:tc>
          <w:tcPr>
            <w:tcW w:w="5606" w:type="dxa"/>
          </w:tcPr>
          <w:p w14:paraId="68167228" w14:textId="1BB5F87E" w:rsidR="00F4358E" w:rsidRPr="007324F0" w:rsidRDefault="00F4358E" w:rsidP="00F4358E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 w:rsidRPr="007324F0">
              <w:rPr>
                <w:rFonts w:ascii="Garamond" w:hAnsi="Garamond"/>
                <w:bCs/>
                <w:sz w:val="24"/>
              </w:rPr>
              <w:t xml:space="preserve">Vypracovanie </w:t>
            </w:r>
            <w:r>
              <w:rPr>
                <w:rFonts w:ascii="Garamond" w:hAnsi="Garamond"/>
                <w:bCs/>
                <w:sz w:val="24"/>
              </w:rPr>
              <w:t>Štúdie realizovateľnosti pre projekt „</w:t>
            </w:r>
            <w:r w:rsidRPr="002F3DD1">
              <w:rPr>
                <w:rFonts w:ascii="Garamond" w:hAnsi="Garamond"/>
                <w:b/>
              </w:rPr>
              <w:t>Nákup obojsmerných električiek s dĺžkou do 32,5 metra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40266477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1BE8ED58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51E600B7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454670" w14:paraId="47C8EE63" w14:textId="77777777" w:rsidTr="00F4358E">
        <w:tc>
          <w:tcPr>
            <w:tcW w:w="936" w:type="dxa"/>
          </w:tcPr>
          <w:p w14:paraId="4DE2578E" w14:textId="77777777" w:rsidR="00454670" w:rsidRPr="00F4358E" w:rsidRDefault="00454670" w:rsidP="00F4358E">
            <w:pPr>
              <w:pStyle w:val="Odsekzoznamu"/>
              <w:numPr>
                <w:ilvl w:val="0"/>
                <w:numId w:val="6"/>
              </w:num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7F45B8AD" w14:textId="0803F84B" w:rsidR="00454670" w:rsidRPr="007324F0" w:rsidRDefault="00454670" w:rsidP="00F4358E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Vypracovanie CBA spolu s textovou časťou pre vybraný variant pre projekt „</w:t>
            </w:r>
            <w:r w:rsidRPr="002F3DD1">
              <w:rPr>
                <w:rFonts w:ascii="Garamond" w:hAnsi="Garamond"/>
                <w:b/>
              </w:rPr>
              <w:t>Nákup obojsmerných električiek s dĺžkou do 32,5 metra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30CAB9BD" w14:textId="77777777" w:rsidR="00454670" w:rsidRPr="007324F0" w:rsidRDefault="00454670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6C4448EC" w14:textId="77777777" w:rsidR="00454670" w:rsidRPr="007324F0" w:rsidRDefault="00454670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12AE6798" w14:textId="77777777" w:rsidR="00454670" w:rsidRPr="007324F0" w:rsidRDefault="00454670" w:rsidP="00F4358E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F4358E" w14:paraId="434CC6F4" w14:textId="77777777" w:rsidTr="0052758E">
        <w:tc>
          <w:tcPr>
            <w:tcW w:w="6542" w:type="dxa"/>
            <w:gridSpan w:val="2"/>
          </w:tcPr>
          <w:p w14:paraId="7AC8F1BD" w14:textId="09D96502" w:rsidR="00F4358E" w:rsidRPr="00F4358E" w:rsidRDefault="00F4358E" w:rsidP="00F4358E">
            <w:pPr>
              <w:rPr>
                <w:rFonts w:ascii="Garamond" w:hAnsi="Garamond"/>
                <w:b/>
                <w:sz w:val="24"/>
              </w:rPr>
            </w:pPr>
            <w:r w:rsidRPr="00F4358E">
              <w:rPr>
                <w:rFonts w:ascii="Garamond" w:hAnsi="Garamond"/>
                <w:b/>
                <w:sz w:val="24"/>
              </w:rPr>
              <w:t>Cena spolu</w:t>
            </w:r>
          </w:p>
        </w:tc>
        <w:tc>
          <w:tcPr>
            <w:tcW w:w="2824" w:type="dxa"/>
          </w:tcPr>
          <w:p w14:paraId="09EEDB72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2B655A97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6A5112D8" w14:textId="77777777" w:rsidR="00F4358E" w:rsidRPr="007324F0" w:rsidRDefault="00F4358E" w:rsidP="00F4358E">
            <w:pPr>
              <w:rPr>
                <w:rFonts w:ascii="Garamond" w:hAnsi="Garamond"/>
                <w:bCs/>
                <w:sz w:val="24"/>
              </w:rPr>
            </w:pPr>
          </w:p>
        </w:tc>
      </w:tr>
      <w:bookmarkEnd w:id="0"/>
    </w:tbl>
    <w:p w14:paraId="0F67D5E9" w14:textId="77777777" w:rsidR="00FB6822" w:rsidRDefault="00FB6822" w:rsidP="00F67C12">
      <w:pPr>
        <w:spacing w:after="0" w:line="240" w:lineRule="auto"/>
        <w:rPr>
          <w:b/>
          <w:sz w:val="24"/>
        </w:rPr>
      </w:pPr>
    </w:p>
    <w:p w14:paraId="3FE60318" w14:textId="12061D4C" w:rsidR="00F873EF" w:rsidRPr="00F67C12" w:rsidRDefault="007E11A2" w:rsidP="00F67C12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   </w:t>
      </w:r>
      <w:r w:rsidRPr="007E11A2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DB25102" w14:textId="77777777" w:rsidR="00F873EF" w:rsidRPr="00F67C12" w:rsidRDefault="00F873EF" w:rsidP="00F67C12">
      <w:pPr>
        <w:ind w:left="142"/>
        <w:jc w:val="both"/>
        <w:rPr>
          <w:rFonts w:ascii="Garamond" w:hAnsi="Garamond" w:cs="Calibri"/>
          <w:color w:val="FF0000"/>
          <w:sz w:val="20"/>
          <w:szCs w:val="20"/>
        </w:rPr>
      </w:pPr>
      <w:r w:rsidRPr="00F67C12">
        <w:rPr>
          <w:rFonts w:ascii="Garamond" w:hAnsi="Garamond" w:cs="Calibri"/>
          <w:color w:val="FF0000"/>
          <w:sz w:val="20"/>
          <w:szCs w:val="20"/>
        </w:rPr>
        <w:t>Je výhradnou povinnosťou uchádzača, aby si dôsledne preštudoval výzvu a všetky dokumenty poskytnuté obstarávateľom, ktoré môžu akýmkoľvek spôsobom ovplyvniť cenu a charakter ponuky alebo poskytnutie služby predmetu zákazky. Navrhovaná cena musí byť stanovená podľa platných právnych predpisov. V prípade, že uchádzač bude úspešný, nebude akceptovaný žiadny nárok uchádzača na zmenu ponukovej ceny z dôvodu chýb a opomenutí jeho povinností.</w:t>
      </w:r>
    </w:p>
    <w:p w14:paraId="36466E42" w14:textId="53CB5FAD" w:rsidR="007E11A2" w:rsidRPr="00F67C12" w:rsidRDefault="003F2CD3" w:rsidP="00F67C12">
      <w:pPr>
        <w:jc w:val="both"/>
        <w:rPr>
          <w:rFonts w:ascii="Garamond" w:hAnsi="Garamond" w:cs="Calibri"/>
          <w:color w:val="FF0000"/>
          <w:sz w:val="20"/>
          <w:szCs w:val="20"/>
        </w:rPr>
      </w:pPr>
      <w:r>
        <w:rPr>
          <w:rFonts w:ascii="Garamond" w:hAnsi="Garamond" w:cs="Calibri"/>
          <w:color w:val="FF0000"/>
          <w:sz w:val="20"/>
          <w:szCs w:val="20"/>
        </w:rPr>
        <w:t xml:space="preserve">   </w:t>
      </w:r>
      <w:r w:rsidR="00F873EF" w:rsidRPr="00F67C12">
        <w:rPr>
          <w:rFonts w:ascii="Garamond" w:hAnsi="Garamond" w:cs="Calibri"/>
          <w:color w:val="FF0000"/>
          <w:sz w:val="20"/>
          <w:szCs w:val="20"/>
        </w:rPr>
        <w:t>Uchádzač v poplatku za poskytovanie služby zohľadní a započíta všetky náklady, ktoré mu vzniknú s realizáciou predmetu zákazky.</w:t>
      </w:r>
    </w:p>
    <w:p w14:paraId="08E54ABE" w14:textId="22D83C3C" w:rsidR="007E11A2" w:rsidRPr="00F67C12" w:rsidRDefault="007E11A2" w:rsidP="00F67C1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 w:cs="Times New Roman"/>
          <w:color w:val="000000"/>
          <w:sz w:val="20"/>
          <w:szCs w:val="20"/>
          <w:lang w:eastAsia="sk-SK"/>
        </w:rPr>
      </w:pP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uvedenú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ponuku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sme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vypracovali v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súvislosti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so zadáváním zakázky „</w:t>
      </w:r>
      <w:r w:rsidR="000546A1">
        <w:rPr>
          <w:rFonts w:ascii="Garamond" w:hAnsi="Garamond" w:cs="Times New Roman"/>
          <w:color w:val="000000"/>
          <w:sz w:val="20"/>
          <w:szCs w:val="20"/>
          <w:lang w:eastAsia="sk-SK"/>
        </w:rPr>
        <w:t>Nákupy obojsmerných električiek – štúdie a analýzy</w:t>
      </w:r>
      <w:r>
        <w:rPr>
          <w:rFonts w:ascii="Garamond" w:hAnsi="Garamond" w:cs="Times New Roman"/>
          <w:color w:val="000000"/>
          <w:sz w:val="20"/>
          <w:szCs w:val="20"/>
          <w:lang w:eastAsia="sk-SK"/>
        </w:rPr>
        <w:t>)</w:t>
      </w:r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“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spoločnosťou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Dopravný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podnik Bratislava, akciová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so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sídlom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Olejkárska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1, 814 52 Bratislava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veci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obstarania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služieb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ktoré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sú určené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Výzve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na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predkladanie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ponúk</w:t>
      </w:r>
      <w:proofErr w:type="spellEnd"/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.</w:t>
      </w:r>
    </w:p>
    <w:p w14:paraId="5F71123E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0FD5CFB5" w14:textId="77777777" w:rsidR="007E11A2" w:rsidRPr="007E11A2" w:rsidRDefault="007E11A2" w:rsidP="007E11A2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7E11A2">
        <w:rPr>
          <w:rFonts w:ascii="Garamond" w:hAnsi="Garamond" w:cs="Times New Roman"/>
          <w:i/>
          <w:sz w:val="20"/>
          <w:szCs w:val="20"/>
        </w:rPr>
        <w:t>Miesto a dátum ..........................</w:t>
      </w:r>
    </w:p>
    <w:p w14:paraId="63E0B5A5" w14:textId="77777777" w:rsidR="007E11A2" w:rsidRPr="007E11A2" w:rsidRDefault="007E11A2" w:rsidP="007E11A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7E11A2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B3740E4" w14:textId="77777777" w:rsidR="00454670" w:rsidRDefault="007E11A2" w:rsidP="007E11A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3357A6E9" w14:textId="0F9EB990" w:rsidR="003E385A" w:rsidRPr="00F67C12" w:rsidRDefault="007E11A2" w:rsidP="00F67C1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sectPr w:rsidR="003E385A" w:rsidRPr="00F67C12" w:rsidSect="002458A7"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7E11A2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984B70A" w14:textId="10D246EE" w:rsidR="003E385A" w:rsidRDefault="003E385A" w:rsidP="00FD6AC0">
      <w:pPr>
        <w:spacing w:after="0" w:line="240" w:lineRule="auto"/>
        <w:jc w:val="both"/>
        <w:rPr>
          <w:sz w:val="20"/>
          <w:szCs w:val="20"/>
        </w:rPr>
      </w:pPr>
    </w:p>
    <w:sectPr w:rsidR="003E385A" w:rsidSect="003E385A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69F3" w14:textId="77777777" w:rsidR="002339E3" w:rsidRDefault="002339E3" w:rsidP="00FB6822">
      <w:pPr>
        <w:spacing w:after="0" w:line="240" w:lineRule="auto"/>
      </w:pPr>
      <w:r>
        <w:separator/>
      </w:r>
    </w:p>
  </w:endnote>
  <w:endnote w:type="continuationSeparator" w:id="0">
    <w:p w14:paraId="294D3456" w14:textId="77777777" w:rsidR="002339E3" w:rsidRDefault="002339E3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A227" w14:textId="77777777" w:rsidR="00A73E22" w:rsidRDefault="00A73E2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039A5A3" w14:textId="77777777" w:rsidR="00A73E22" w:rsidRDefault="00A73E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5456" w14:textId="77777777" w:rsidR="002339E3" w:rsidRDefault="002339E3" w:rsidP="00FB6822">
      <w:pPr>
        <w:spacing w:after="0" w:line="240" w:lineRule="auto"/>
      </w:pPr>
      <w:r>
        <w:separator/>
      </w:r>
    </w:p>
  </w:footnote>
  <w:footnote w:type="continuationSeparator" w:id="0">
    <w:p w14:paraId="59F2AC44" w14:textId="77777777" w:rsidR="002339E3" w:rsidRDefault="002339E3" w:rsidP="00FB6822">
      <w:pPr>
        <w:spacing w:after="0" w:line="240" w:lineRule="auto"/>
      </w:pPr>
      <w:r>
        <w:continuationSeparator/>
      </w:r>
    </w:p>
  </w:footnote>
  <w:footnote w:id="1">
    <w:p w14:paraId="307D42C0" w14:textId="48F0C54B" w:rsidR="003E385A" w:rsidRPr="00A33C06" w:rsidRDefault="007E11A2" w:rsidP="007E11A2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824C7F"/>
    <w:multiLevelType w:val="hybridMultilevel"/>
    <w:tmpl w:val="25F458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1085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 w15:restartNumberingAfterBreak="0">
    <w:nsid w:val="604A44CF"/>
    <w:multiLevelType w:val="hybridMultilevel"/>
    <w:tmpl w:val="F8C42B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280378134">
    <w:abstractNumId w:val="2"/>
  </w:num>
  <w:num w:numId="2" w16cid:durableId="616833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016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854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085107">
    <w:abstractNumId w:val="0"/>
  </w:num>
  <w:num w:numId="6" w16cid:durableId="7310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150D1"/>
    <w:rsid w:val="00020BBD"/>
    <w:rsid w:val="00050AEC"/>
    <w:rsid w:val="00052C93"/>
    <w:rsid w:val="000546A1"/>
    <w:rsid w:val="00057A38"/>
    <w:rsid w:val="000654EE"/>
    <w:rsid w:val="000B4ED4"/>
    <w:rsid w:val="000B552C"/>
    <w:rsid w:val="000C0338"/>
    <w:rsid w:val="000F0CD1"/>
    <w:rsid w:val="000F2CB1"/>
    <w:rsid w:val="000F4615"/>
    <w:rsid w:val="000F6FBF"/>
    <w:rsid w:val="00101312"/>
    <w:rsid w:val="0015459A"/>
    <w:rsid w:val="00165E56"/>
    <w:rsid w:val="00186E01"/>
    <w:rsid w:val="001B73A2"/>
    <w:rsid w:val="001E5D43"/>
    <w:rsid w:val="002179C9"/>
    <w:rsid w:val="00233263"/>
    <w:rsid w:val="002339E3"/>
    <w:rsid w:val="00270E84"/>
    <w:rsid w:val="00280C2F"/>
    <w:rsid w:val="002A3627"/>
    <w:rsid w:val="002D498A"/>
    <w:rsid w:val="002D4D7F"/>
    <w:rsid w:val="002E6640"/>
    <w:rsid w:val="002E7715"/>
    <w:rsid w:val="002F0AFA"/>
    <w:rsid w:val="002F5B39"/>
    <w:rsid w:val="00326F8D"/>
    <w:rsid w:val="0033164A"/>
    <w:rsid w:val="00343350"/>
    <w:rsid w:val="00390342"/>
    <w:rsid w:val="003A43FE"/>
    <w:rsid w:val="003C28CA"/>
    <w:rsid w:val="003C480A"/>
    <w:rsid w:val="003E385A"/>
    <w:rsid w:val="003F2CD3"/>
    <w:rsid w:val="0040648E"/>
    <w:rsid w:val="00412860"/>
    <w:rsid w:val="0042292B"/>
    <w:rsid w:val="00446812"/>
    <w:rsid w:val="00454670"/>
    <w:rsid w:val="00482153"/>
    <w:rsid w:val="0048506A"/>
    <w:rsid w:val="004867DE"/>
    <w:rsid w:val="00494EF9"/>
    <w:rsid w:val="005205C5"/>
    <w:rsid w:val="00526119"/>
    <w:rsid w:val="0055263D"/>
    <w:rsid w:val="00561E14"/>
    <w:rsid w:val="00564B79"/>
    <w:rsid w:val="00585019"/>
    <w:rsid w:val="005C5B70"/>
    <w:rsid w:val="005F03D5"/>
    <w:rsid w:val="006035E4"/>
    <w:rsid w:val="00604105"/>
    <w:rsid w:val="00623ED5"/>
    <w:rsid w:val="006572D6"/>
    <w:rsid w:val="006757EB"/>
    <w:rsid w:val="00677965"/>
    <w:rsid w:val="006941E2"/>
    <w:rsid w:val="006E3EF9"/>
    <w:rsid w:val="00700CD6"/>
    <w:rsid w:val="00702752"/>
    <w:rsid w:val="00715BF1"/>
    <w:rsid w:val="007324F0"/>
    <w:rsid w:val="00741302"/>
    <w:rsid w:val="00747E45"/>
    <w:rsid w:val="00765F85"/>
    <w:rsid w:val="007B61B9"/>
    <w:rsid w:val="007D0416"/>
    <w:rsid w:val="007E11A2"/>
    <w:rsid w:val="00820DC2"/>
    <w:rsid w:val="00836A1F"/>
    <w:rsid w:val="00841F10"/>
    <w:rsid w:val="00843900"/>
    <w:rsid w:val="00846B92"/>
    <w:rsid w:val="00863123"/>
    <w:rsid w:val="00873F48"/>
    <w:rsid w:val="00893265"/>
    <w:rsid w:val="008B5461"/>
    <w:rsid w:val="00902AA8"/>
    <w:rsid w:val="009366FF"/>
    <w:rsid w:val="00960A41"/>
    <w:rsid w:val="00975217"/>
    <w:rsid w:val="009D07CD"/>
    <w:rsid w:val="009D4C8C"/>
    <w:rsid w:val="009E1A32"/>
    <w:rsid w:val="00A32325"/>
    <w:rsid w:val="00A73E22"/>
    <w:rsid w:val="00A8176E"/>
    <w:rsid w:val="00AA1580"/>
    <w:rsid w:val="00AA42C1"/>
    <w:rsid w:val="00AF11B8"/>
    <w:rsid w:val="00B36801"/>
    <w:rsid w:val="00B46AE0"/>
    <w:rsid w:val="00B57181"/>
    <w:rsid w:val="00B634B8"/>
    <w:rsid w:val="00B6679E"/>
    <w:rsid w:val="00B67A50"/>
    <w:rsid w:val="00B84AC6"/>
    <w:rsid w:val="00BE1E15"/>
    <w:rsid w:val="00BF2ACA"/>
    <w:rsid w:val="00C0759E"/>
    <w:rsid w:val="00C26196"/>
    <w:rsid w:val="00C86290"/>
    <w:rsid w:val="00CD5244"/>
    <w:rsid w:val="00CF2A36"/>
    <w:rsid w:val="00D94D62"/>
    <w:rsid w:val="00DD28DF"/>
    <w:rsid w:val="00E067BD"/>
    <w:rsid w:val="00E31C00"/>
    <w:rsid w:val="00E45DE0"/>
    <w:rsid w:val="00E61B1E"/>
    <w:rsid w:val="00E81351"/>
    <w:rsid w:val="00EA5458"/>
    <w:rsid w:val="00EC2EF3"/>
    <w:rsid w:val="00EF1B12"/>
    <w:rsid w:val="00F17670"/>
    <w:rsid w:val="00F427D1"/>
    <w:rsid w:val="00F42B4E"/>
    <w:rsid w:val="00F4358E"/>
    <w:rsid w:val="00F55C1D"/>
    <w:rsid w:val="00F67C12"/>
    <w:rsid w:val="00F873EF"/>
    <w:rsid w:val="00FA1E05"/>
    <w:rsid w:val="00FB6822"/>
    <w:rsid w:val="00FD6AC0"/>
    <w:rsid w:val="00FE4399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E11A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E11A2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7E11A2"/>
    <w:rPr>
      <w:vertAlign w:val="superscript"/>
    </w:rPr>
  </w:style>
  <w:style w:type="table" w:styleId="Mriekatabuky">
    <w:name w:val="Table Grid"/>
    <w:basedOn w:val="Normlnatabuka"/>
    <w:uiPriority w:val="39"/>
    <w:rsid w:val="0073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873EF"/>
    <w:pPr>
      <w:spacing w:after="0" w:line="240" w:lineRule="auto"/>
    </w:pPr>
    <w:rPr>
      <w:rFonts w:ascii="Arial" w:eastAsia="Times New Roman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2025-02-11T14:31:00Z</dcterms:created>
  <dcterms:modified xsi:type="dcterms:W3CDTF">2025-02-27T16:54:00Z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