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7AFD86DD" w14:textId="5748655D" w:rsidR="00882E5E" w:rsidRDefault="00610F7D" w:rsidP="00610F7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610F7D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a distribúcie zemného plynu pre AOMVSR na rok 2025</w:t>
      </w:r>
    </w:p>
    <w:p w14:paraId="0F65978D" w14:textId="77777777" w:rsidR="00610F7D" w:rsidRPr="00610F7D" w:rsidRDefault="00610F7D" w:rsidP="00610F7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</w:p>
    <w:p w14:paraId="6E6FE83A" w14:textId="56CFBFCA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548EC892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</w:t>
      </w:r>
      <w:r w:rsidR="00610F7D">
        <w:rPr>
          <w:rFonts w:ascii="Arial Narrow" w:hAnsi="Arial Narrow"/>
          <w:b/>
          <w:sz w:val="22"/>
          <w:szCs w:val="22"/>
        </w:rPr>
        <w:t>hodnota Aditíva Ad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5A48343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</w:t>
      </w:r>
      <w:r w:rsidR="00610F7D">
        <w:rPr>
          <w:rFonts w:ascii="Arial Narrow" w:eastAsia="Calibri" w:hAnsi="Arial Narrow"/>
          <w:sz w:val="22"/>
          <w:szCs w:val="22"/>
          <w:lang w:eastAsia="sk-SK"/>
        </w:rPr>
        <w:t>hodnotou Aditíva Ad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="00610F7D"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</w:t>
      </w:r>
      <w:r w:rsidR="00610F7D">
        <w:rPr>
          <w:rFonts w:ascii="Arial Narrow" w:eastAsia="Calibri" w:hAnsi="Arial Narrow"/>
          <w:sz w:val="22"/>
          <w:szCs w:val="22"/>
          <w:lang w:eastAsia="sk-SK"/>
        </w:rPr>
        <w:t>hodnotou Aditíva Ad</w:t>
      </w:r>
      <w:r w:rsidR="00610F7D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druhú, ponuku s tretou </w:t>
      </w:r>
      <w:r w:rsidR="00610F7D"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</w:t>
      </w:r>
      <w:r w:rsidR="00610F7D">
        <w:rPr>
          <w:rFonts w:ascii="Arial Narrow" w:eastAsia="Calibri" w:hAnsi="Arial Narrow"/>
          <w:sz w:val="22"/>
          <w:szCs w:val="22"/>
          <w:lang w:eastAsia="sk-SK"/>
        </w:rPr>
        <w:t>hodnotou Aditíva Ad</w:t>
      </w:r>
      <w:r w:rsidR="00610F7D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0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0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C821DF" w14:textId="64C9D034" w:rsidR="00D9577F" w:rsidRPr="00F11110" w:rsidRDefault="00610F7D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  <w:r w:rsidRPr="00610F7D">
              <w:rPr>
                <w:rFonts w:ascii="Arial Narrow" w:hAnsi="Arial Narrow"/>
                <w:b/>
                <w:bCs/>
              </w:rPr>
              <w:t>ýška prirážky k spotovej cene v</w:t>
            </w:r>
            <w:r w:rsidRPr="00610F7D">
              <w:rPr>
                <w:rFonts w:ascii="Arial Narrow" w:hAnsi="Arial Narrow"/>
                <w:b/>
                <w:bCs/>
              </w:rPr>
              <w:t> </w:t>
            </w:r>
            <w:r w:rsidRPr="00610F7D">
              <w:rPr>
                <w:rFonts w:ascii="Arial Narrow" w:hAnsi="Arial Narrow"/>
                <w:b/>
                <w:bCs/>
              </w:rPr>
              <w:t>EUR</w:t>
            </w:r>
            <w:r w:rsidRPr="00610F7D">
              <w:rPr>
                <w:rFonts w:ascii="Arial Narrow" w:hAnsi="Arial Narrow"/>
                <w:b/>
                <w:bCs/>
              </w:rPr>
              <w:t xml:space="preserve"> bez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48E496D" w14:textId="77777777" w:rsidR="00D9577F" w:rsidRDefault="00610F7D" w:rsidP="00A25D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Hodnota Aditíva Ad </w:t>
            </w:r>
          </w:p>
          <w:p w14:paraId="4C9D944A" w14:textId="21A3A0CF" w:rsidR="00610F7D" w:rsidRPr="00F11110" w:rsidRDefault="00610F7D" w:rsidP="00A25DE7">
            <w:pPr>
              <w:rPr>
                <w:rFonts w:ascii="Arial Narrow" w:hAnsi="Arial Narrow"/>
                <w:b/>
                <w:bCs/>
              </w:rPr>
            </w:pPr>
            <w:r w:rsidRPr="008823B4">
              <w:rPr>
                <w:rFonts w:ascii="Arial Narrow" w:hAnsi="Arial Narrow"/>
              </w:rPr>
              <w:t xml:space="preserve">(viď vzorec pre výpočet Ceny za dodávku plynu, bod 1.1 </w:t>
            </w:r>
            <w:r w:rsidRPr="003B3590">
              <w:rPr>
                <w:rFonts w:ascii="Arial Narrow" w:hAnsi="Arial Narrow"/>
              </w:rPr>
              <w:t>Prílohy č. 3 Zmluvy)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63319F90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2D453867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53CB" w14:textId="77777777" w:rsidR="00D34A8C" w:rsidRDefault="00D34A8C" w:rsidP="007C6581">
      <w:r>
        <w:separator/>
      </w:r>
    </w:p>
  </w:endnote>
  <w:endnote w:type="continuationSeparator" w:id="0">
    <w:p w14:paraId="4B87A859" w14:textId="77777777" w:rsidR="00D34A8C" w:rsidRDefault="00D34A8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4EFB" w14:textId="77777777" w:rsidR="00D34A8C" w:rsidRDefault="00D34A8C" w:rsidP="007C6581">
      <w:r>
        <w:separator/>
      </w:r>
    </w:p>
  </w:footnote>
  <w:footnote w:type="continuationSeparator" w:id="0">
    <w:p w14:paraId="30933F48" w14:textId="77777777" w:rsidR="00D34A8C" w:rsidRDefault="00D34A8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5FC06E92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B0E0F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3104D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548C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62A61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0F7D"/>
    <w:rsid w:val="00625253"/>
    <w:rsid w:val="0063699B"/>
    <w:rsid w:val="00643C5C"/>
    <w:rsid w:val="006467C4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6F7289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2E5E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4A8C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B0E0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5D6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2591B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2019-07-12T11:07:00Z</cp:lastPrinted>
  <dcterms:created xsi:type="dcterms:W3CDTF">2025-03-12T13:57:00Z</dcterms:created>
  <dcterms:modified xsi:type="dcterms:W3CDTF">2025-03-12T14:00:00Z</dcterms:modified>
</cp:coreProperties>
</file>