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A2BAA93"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w:t>
      </w:r>
      <w:r w:rsidR="00EB13DB">
        <w:rPr>
          <w:rFonts w:ascii="Arial Narrow" w:eastAsia="Arial" w:hAnsi="Arial Narrow" w:cstheme="majorHAnsi"/>
          <w:b/>
          <w:i/>
          <w:color w:val="000000" w:themeColor="text1"/>
          <w:szCs w:val="22"/>
        </w:rPr>
        <w:t xml:space="preserve">bezpečného odpadu </w:t>
      </w:r>
      <w:r w:rsidR="00DA7DCF">
        <w:rPr>
          <w:rFonts w:ascii="Arial Narrow" w:eastAsia="Arial" w:hAnsi="Arial Narrow" w:cstheme="majorHAnsi"/>
          <w:b/>
          <w:i/>
          <w:color w:val="000000" w:themeColor="text1"/>
          <w:szCs w:val="22"/>
        </w:rPr>
        <w:t>k. ú. Šaľa</w:t>
      </w:r>
      <w:r w:rsidR="00EB13DB">
        <w:rPr>
          <w:rFonts w:ascii="Arial Narrow" w:eastAsia="Arial" w:hAnsi="Arial Narrow" w:cstheme="majorHAnsi"/>
          <w:b/>
          <w:i/>
          <w:color w:val="000000" w:themeColor="text1"/>
          <w:szCs w:val="22"/>
        </w:rPr>
        <w:t xml:space="preserve"> ŽST</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21A42346"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EB13DB">
        <w:rPr>
          <w:rFonts w:ascii="Arial Narrow" w:hAnsi="Arial Narrow"/>
          <w:sz w:val="22"/>
          <w:szCs w:val="22"/>
        </w:rPr>
        <w:t>65288</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EFACE1D" w14:textId="3B2AFD35" w:rsidR="00EB13DB"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EB13DB" w:rsidRPr="00A877F7">
          <w:rPr>
            <w:rStyle w:val="Hypertextovprepojenie"/>
            <w:rFonts w:ascii="Arial Narrow" w:hAnsi="Arial Narrow" w:cs="Times New Roman"/>
            <w:sz w:val="22"/>
            <w:szCs w:val="22"/>
          </w:rPr>
          <w:t>https://josephine.proebiz.com/sk/promoter/tender/65288/summary</w:t>
        </w:r>
      </w:hyperlink>
    </w:p>
    <w:p w14:paraId="0BCCCB22" w14:textId="77777777" w:rsidR="00EB13DB" w:rsidRDefault="00EB13DB" w:rsidP="00802A8C">
      <w:pPr>
        <w:pStyle w:val="Default"/>
        <w:rPr>
          <w:rFonts w:ascii="Arial Narrow" w:hAnsi="Arial Narrow" w:cs="Times New Roman"/>
          <w:color w:val="auto"/>
          <w:sz w:val="22"/>
          <w:szCs w:val="22"/>
        </w:rPr>
      </w:pPr>
    </w:p>
    <w:p w14:paraId="1553A3DC" w14:textId="1707A86A" w:rsidR="00802A8C" w:rsidRPr="00EB13DB"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 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0482593A"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EB13DB">
        <w:rPr>
          <w:rFonts w:ascii="Arial Narrow" w:hAnsi="Arial Narrow"/>
          <w:b/>
          <w:sz w:val="22"/>
          <w:szCs w:val="24"/>
        </w:rPr>
        <w:t>2518,07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bookmarkStart w:id="21" w:name="_GoBack"/>
      <w:bookmarkEnd w:id="21"/>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68E8" w14:textId="77777777" w:rsidR="00BA0C6B" w:rsidRDefault="00BA0C6B">
      <w:r>
        <w:separator/>
      </w:r>
    </w:p>
  </w:endnote>
  <w:endnote w:type="continuationSeparator" w:id="0">
    <w:p w14:paraId="673E3833" w14:textId="77777777" w:rsidR="00BA0C6B" w:rsidRDefault="00BA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C6823BB"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8F1447" w:rsidRPr="008F1447">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404DB" w14:textId="77777777" w:rsidR="00BA0C6B" w:rsidRDefault="00BA0C6B">
      <w:r>
        <w:separator/>
      </w:r>
    </w:p>
  </w:footnote>
  <w:footnote w:type="continuationSeparator" w:id="0">
    <w:p w14:paraId="7686B08C" w14:textId="77777777" w:rsidR="00BA0C6B" w:rsidRDefault="00BA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447"/>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5F4"/>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C6B"/>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3DB"/>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28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859E-76F0-41AF-85C9-AED9B397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99</TotalTime>
  <Pages>8</Pages>
  <Words>3032</Words>
  <Characters>17283</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20275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13</cp:revision>
  <cp:lastPrinted>2021-01-20T13:59:00Z</cp:lastPrinted>
  <dcterms:created xsi:type="dcterms:W3CDTF">2023-06-29T12:55:00Z</dcterms:created>
  <dcterms:modified xsi:type="dcterms:W3CDTF">2025-03-24T06:48:00Z</dcterms:modified>
</cp:coreProperties>
</file>