
<file path=[Content_Types].xml><?xml version="1.0" encoding="utf-8"?>
<Types xmlns="http://schemas.openxmlformats.org/package/2006/content-types">
  <Default ContentType="image/bmp" Extension="bmp"/>
  <Default ContentType="image/gif" Extension="gif"/>
  <Default ContentType="image/jpeg" Extension="jfif"/>
  <Default ContentType="image/jpeg" Extension="jpe"/>
  <Default ContentType="image/jpeg" Extension="jpeg"/>
  <Default ContentType="image/jpeg" Extension="jpg"/>
  <Default ContentType="image/png" Extension="png"/>
  <Default ContentType="application/vnd.openxmlformats-package.relationships+xml" Extension="rels"/>
  <Default ContentType="image/tiff" Extension="tif"/>
  <Default ContentType="image/tiff" Extension="tif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R="00F65EB4" w:rsidRDefault="00E32B6D"/>
    <w:tbl>
      <w:tblPr>
        <w:tblStyle w:val="TableGrid"/>
        <w:tblW w:type="pct" w:w="5003"/>
        <w:jc w:val="center"/>
        <w:tblInd w:type="dxa" w:w="0"/>
        <w:tblCellMar>
          <w:top w:type="dxa" w:w="13"/>
          <w:right w:type="dxa" w:w="7"/>
        </w:tblCellMar>
        <w:tblLook w:firstColumn="1" w:firstRow="1" w:lastColumn="0" w:lastRow="0" w:noHBand="0" w:noVBand="1" w:val="04A0"/>
      </w:tblPr>
      <w:tblGrid>
        <w:gridCol w:w="2091"/>
        <w:gridCol w:w="770"/>
        <w:gridCol w:w="6216"/>
      </w:tblGrid>
      <w:tr w:rsidR="002B2CF2" w:rsidRPr="00014C3A" w:rsidTr="00251DEF">
        <w:trPr>
          <w:trHeight w:val="2035"/>
          <w:jc w:val="center"/>
        </w:trPr>
        <w:tc>
          <w:tcPr>
            <w:tcW w:type="pct" w:w="1152"/>
            <w:tcBorders>
              <w:top w:color="000000" w:space="0" w:sz="18" w:val="single"/>
              <w:left w:color="000000" w:space="0" w:sz="18" w:val="single"/>
              <w:bottom w:color="000000" w:space="0" w:sz="18" w:val="single"/>
              <w:right w:val="nil"/>
            </w:tcBorders>
          </w:tcPr>
          <w:p w:rsidP="00887EE8" w:rsidR="002B2CF2" w:rsidRDefault="002B2CF2" w:rsidRPr="00014C3A">
            <w:pPr>
              <w:spacing w:after="120" w:before="120"/>
              <w:ind w:left="113"/>
              <w:jc w:val="center"/>
              <w:rPr>
                <w:bCs/>
              </w:rPr>
            </w:pPr>
            <w:r w:rsidRPr="00014C3A">
              <w:rPr>
                <w:b/>
                <w:bCs/>
              </w:rPr>
              <w:t> </w:t>
            </w:r>
            <w:r w:rsidRPr="00014C3A">
              <w:rPr>
                <w:b/>
                <w:bCs/>
              </w:rPr>
              <w:br/>
            </w:r>
            <w:r w:rsidRPr="00014C3A">
              <w:rPr>
                <w:noProof/>
              </w:rPr>
              <w:drawing>
                <wp:inline distB="0" distL="0" distR="0" distT="0" wp14:anchorId="64E55A07" wp14:editId="4DBB9D8D">
                  <wp:extent cx="952500" cy="466725"/>
                  <wp:effectExtent b="9525" l="0" r="0" t="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466725"/>
                          </a:xfrm>
                          <a:prstGeom prst="rect">
                            <a:avLst/>
                          </a:prstGeom>
                          <a:noFill/>
                          <a:ln>
                            <a:noFill/>
                          </a:ln>
                        </pic:spPr>
                      </pic:pic>
                    </a:graphicData>
                  </a:graphic>
                </wp:inline>
              </w:drawing>
            </w:r>
            <w:r w:rsidRPr="00014C3A">
              <w:rPr>
                <w:b/>
                <w:bCs/>
              </w:rPr>
              <w:br/>
              <w:t>European Commission</w:t>
            </w:r>
            <w:r w:rsidRPr="00014C3A">
              <w:rPr>
                <w:b/>
                <w:bCs/>
              </w:rPr>
              <w:br/>
            </w:r>
            <w:r w:rsidR="00251DEF" w:rsidRPr="00251DEF">
              <w:rPr>
                <w:bCs/>
              </w:rPr>
              <w:t>European Climate, Infrastructure and Environment Executive Agency (CINEA)</w:t>
            </w:r>
          </w:p>
          <w:p w:rsidP="00887EE8" w:rsidR="002B2CF2" w:rsidRDefault="002B2CF2" w:rsidRPr="00014C3A">
            <w:pPr>
              <w:spacing w:after="120" w:before="120"/>
              <w:ind w:left="113"/>
              <w:jc w:val="center"/>
              <w:rPr>
                <w:bCs/>
              </w:rPr>
            </w:pPr>
          </w:p>
          <w:p w:rsidP="00887EE8" w:rsidR="002B2CF2" w:rsidRDefault="002B2CF2" w:rsidRPr="00014C3A">
            <w:pPr>
              <w:spacing w:after="120" w:before="120"/>
              <w:ind w:left="113"/>
              <w:jc w:val="center"/>
            </w:pPr>
            <w:r w:rsidRPr="00014C3A">
              <w:rPr>
                <w:b/>
              </w:rPr>
              <w:t>Connecting Europe Facility</w:t>
            </w:r>
          </w:p>
        </w:tc>
        <w:tc>
          <w:tcPr>
            <w:tcW w:type="pct" w:w="3845"/>
            <w:gridSpan w:val="2"/>
            <w:tcBorders>
              <w:top w:color="000000" w:space="0" w:sz="18" w:val="single"/>
              <w:left w:val="nil"/>
              <w:bottom w:color="000000" w:space="0" w:sz="18" w:val="single"/>
              <w:right w:color="000000" w:space="0" w:sz="18" w:val="single"/>
            </w:tcBorders>
            <w:shd w:color="auto" w:fill="99CCFF" w:val="clear"/>
            <w:vAlign w:val="center"/>
          </w:tcPr>
          <w:p w:rsidP="00796FA7" w:rsidR="002B2CF2" w:rsidRDefault="00C07328">
            <w:pPr>
              <w:spacing w:after="0" w:line="240" w:lineRule="auto"/>
              <w:jc w:val="center"/>
              <w:rPr>
                <w:rFonts w:ascii="Verdana" w:cs="Arial" w:eastAsia="Arial" w:hAnsi="Verdana"/>
                <w:b/>
                <w:sz w:val="36"/>
              </w:rPr>
            </w:pPr>
            <w:r>
              <w:rPr>
                <w:rFonts w:ascii="Verdana" w:cs="Arial" w:eastAsia="Arial" w:hAnsi="Verdana"/>
                <w:b/>
                <w:noProof/>
                <w:sz w:val="36"/>
                <w:szCs w:val="36"/>
              </w:rPr>
              <w:t>ASR-2024-2019-SK-TMC-0143-W-Upgrade of the Čadca - Svrčinovec zastávka (incl.) railway section</w:t>
            </w:r>
          </w:p>
          <w:p w:rsidP="00F154EC" w:rsidR="002B2CF2" w:rsidRDefault="002B2CF2" w:rsidRPr="00F102E8">
            <w:pPr>
              <w:spacing w:after="120" w:before="120"/>
              <w:ind w:left="113"/>
              <w:jc w:val="center"/>
              <w:rPr>
                <w:rFonts w:ascii="Verdana" w:hAnsi="Verdana"/>
              </w:rPr>
            </w:pPr>
            <w:r w:rsidRPr="00F102E8">
              <w:rPr>
                <w:rFonts w:ascii="Verdana" w:cs="Arial" w:eastAsia="Arial" w:hAnsi="Verdana"/>
                <w:sz w:val="36"/>
              </w:rPr>
              <w:t xml:space="preserve">Reporting period: </w:t>
            </w:r>
            <w:r w:rsidR="00F154EC" w:rsidRPr="00F102E8">
              <w:rPr>
                <w:rFonts w:ascii="Verdana" w:cs="Arial" w:eastAsia="Arial" w:hAnsi="Verdana"/>
                <w:noProof/>
                <w:sz w:val="36"/>
              </w:rPr>
              <w:t>1 January 2023 - 31 December 2023</w:t>
            </w:r>
          </w:p>
        </w:tc>
      </w:tr>
      <w:tr w:rsidR="002B2CF2" w:rsidRPr="00187B31" w:rsidTr="00251DEF">
        <w:trPr>
          <w:trHeight w:val="534"/>
          <w:jc w:val="center"/>
        </w:trPr>
        <w:tc>
          <w:tcPr>
            <w:tcW w:type="pct" w:w="4997"/>
            <w:gridSpan w:val="3"/>
            <w:tcBorders>
              <w:top w:color="000000" w:space="0" w:sz="18" w:val="single"/>
              <w:left w:val="nil"/>
              <w:right w:val="nil"/>
            </w:tcBorders>
            <w:shd w:color="auto" w:fill="FFFFFF" w:val="clear"/>
          </w:tcPr>
          <w:p w:rsidP="00887EE8" w:rsidR="002B2CF2" w:rsidRDefault="002B2CF2" w:rsidRPr="00187B31">
            <w:pPr>
              <w:rPr>
                <w:rFonts w:ascii="Verdana" w:hAnsi="Verdana"/>
              </w:rPr>
            </w:pPr>
          </w:p>
        </w:tc>
      </w:tr>
      <w:tr w:rsidR="002B2CF2" w:rsidRPr="00187B31"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714"/>
          <w:jc w:val="center"/>
        </w:trPr>
        <w:tc>
          <w:tcPr>
            <w:tcW w:type="pct" w:w="5000"/>
            <w:gridSpan w:val="3"/>
            <w:shd w:color="auto" w:fill="99CCFF" w:val="clear"/>
            <w:vAlign w:val="center"/>
          </w:tcPr>
          <w:p w:rsidP="00887EE8" w:rsidR="002B2CF2" w:rsidRDefault="002B2CF2" w:rsidRPr="00187B31">
            <w:pPr>
              <w:spacing w:after="120" w:before="120"/>
              <w:ind w:left="113"/>
              <w:rPr>
                <w:rFonts w:ascii="Verdana" w:hAnsi="Verdana"/>
              </w:rPr>
            </w:pPr>
            <w:bookmarkStart w:id="0" w:name="_GoBack"/>
            <w:bookmarkEnd w:id="0"/>
            <w:r w:rsidRPr="00252ECC">
              <w:rPr>
                <w:rFonts w:ascii="Verdana" w:cs="Arial" w:eastAsia="Arial" w:hAnsi="Verdana"/>
                <w:b/>
                <w:sz w:val="32"/>
              </w:rPr>
              <w:t>1. INFORMATION ON THE ACTION</w:t>
            </w:r>
          </w:p>
        </w:tc>
      </w:tr>
      <w:tr w:rsidR="002B2CF2" w:rsidRPr="00187B31"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298"/>
          <w:jc w:val="center"/>
        </w:trPr>
        <w:tc>
          <w:tcPr>
            <w:tcW w:type="pct" w:w="1576"/>
            <w:gridSpan w:val="2"/>
            <w:shd w:color="auto" w:fill="FFFF99" w:val="clear"/>
          </w:tcPr>
          <w:p w:rsidP="00887EE8" w:rsidR="002B2CF2" w:rsidRDefault="002B2CF2" w:rsidRPr="00187B31">
            <w:pPr>
              <w:spacing w:after="120" w:before="120"/>
              <w:ind w:left="113"/>
              <w:rPr>
                <w:rFonts w:ascii="Verdana" w:hAnsi="Verdana"/>
              </w:rPr>
            </w:pPr>
            <w:r w:rsidRPr="00187B31">
              <w:rPr>
                <w:rFonts w:ascii="Verdana" w:cs="Arial" w:eastAsia="Arial" w:hAnsi="Verdana"/>
                <w:sz w:val="24"/>
              </w:rPr>
              <w:t>Grant Agreement Nº</w:t>
            </w:r>
          </w:p>
        </w:tc>
        <w:tc>
          <w:tcPr>
            <w:tcW w:type="pct" w:w="3424"/>
            <w:vAlign w:val="center"/>
          </w:tcPr>
          <w:p w:rsidP="00887EE8" w:rsidR="002B2CF2" w:rsidRDefault="00331949" w:rsidRPr="00331949">
            <w:pPr>
              <w:spacing w:after="120" w:before="120"/>
              <w:ind w:left="113"/>
              <w:rPr>
                <w:rFonts w:ascii="Verdana" w:cs="Arial" w:eastAsia="Arial" w:hAnsi="Verdana"/>
                <w:sz w:val="24"/>
              </w:rPr>
            </w:pPr>
            <w:r>
              <w:rPr>
                <w:rFonts w:ascii="Verdana" w:cs="Arial" w:eastAsia="Arial" w:hAnsi="Verdana"/>
                <w:noProof/>
                <w:sz w:val="24"/>
              </w:rPr>
              <w:t>INEA/CEF/TRAN/M2019/2106494</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598"/>
          <w:jc w:val="center"/>
        </w:trPr>
        <w:tc>
          <w:tcPr>
            <w:tcW w:type="pct" w:w="1576"/>
            <w:gridSpan w:val="2"/>
            <w:shd w:color="auto" w:fill="FFFF99" w:val="clear"/>
            <w:vAlign w:val="center"/>
          </w:tcPr>
          <w:p w:rsidP="00887EE8" w:rsidR="002B2CF2" w:rsidRDefault="002B2CF2" w:rsidRPr="00187B31">
            <w:pPr>
              <w:spacing w:after="120" w:before="120"/>
              <w:ind w:left="113"/>
              <w:rPr>
                <w:rFonts w:ascii="Verdana" w:cs="Arial" w:eastAsia="Arial" w:hAnsi="Verdana"/>
                <w:sz w:val="24"/>
              </w:rPr>
            </w:pPr>
            <w:r w:rsidRPr="00187B31">
              <w:rPr>
                <w:rFonts w:ascii="Verdana" w:cs="Arial" w:eastAsia="Arial" w:hAnsi="Verdana"/>
                <w:sz w:val="24"/>
              </w:rPr>
              <w:t xml:space="preserve">Action </w:t>
            </w:r>
            <w:r>
              <w:rPr>
                <w:rFonts w:ascii="Verdana" w:cs="Arial" w:eastAsia="Arial" w:hAnsi="Verdana"/>
                <w:sz w:val="24"/>
              </w:rPr>
              <w:t>number</w:t>
            </w:r>
          </w:p>
        </w:tc>
        <w:tc>
          <w:tcPr>
            <w:tcW w:type="pct" w:w="3424"/>
            <w:vAlign w:val="center"/>
          </w:tcPr>
          <w:p w:rsidP="00887EE8" w:rsidR="002B2CF2" w:rsidRDefault="00331949" w:rsidRPr="008F6F32">
            <w:pPr>
              <w:spacing w:after="120" w:before="120"/>
              <w:ind w:left="113"/>
              <w:rPr>
                <w:rFonts w:ascii="Verdana" w:cs="Arial" w:eastAsia="Arial" w:hAnsi="Verdana"/>
                <w:sz w:val="24"/>
              </w:rPr>
            </w:pPr>
            <w:r>
              <w:rPr>
                <w:rFonts w:ascii="Verdana" w:cs="Arial" w:eastAsia="Arial" w:hAnsi="Verdana"/>
                <w:noProof/>
                <w:sz w:val="24"/>
              </w:rPr>
              <w:t>2019-SK-TMC-0143-W</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677"/>
          <w:jc w:val="center"/>
        </w:trPr>
        <w:tc>
          <w:tcPr>
            <w:tcW w:type="pct" w:w="1576"/>
            <w:gridSpan w:val="2"/>
            <w:shd w:color="auto" w:fill="FFFF99" w:val="clear"/>
            <w:vAlign w:val="center"/>
          </w:tcPr>
          <w:p w:rsidP="00887EE8" w:rsidR="002B2CF2" w:rsidRDefault="002B2CF2" w:rsidRPr="008F6F32">
            <w:pPr>
              <w:spacing w:after="120" w:before="120"/>
              <w:ind w:left="113"/>
              <w:rPr>
                <w:rFonts w:ascii="Verdana" w:cs="Arial" w:eastAsia="Arial" w:hAnsi="Verdana"/>
                <w:sz w:val="24"/>
              </w:rPr>
            </w:pPr>
            <w:r w:rsidRPr="00187B31">
              <w:rPr>
                <w:rFonts w:ascii="Verdana" w:cs="Arial" w:eastAsia="Arial" w:hAnsi="Verdana"/>
                <w:sz w:val="24"/>
              </w:rPr>
              <w:t xml:space="preserve">Action </w:t>
            </w:r>
            <w:r>
              <w:rPr>
                <w:rFonts w:ascii="Verdana" w:cs="Arial" w:eastAsia="Arial" w:hAnsi="Verdana"/>
                <w:sz w:val="24"/>
              </w:rPr>
              <w:t>t</w:t>
            </w:r>
            <w:r w:rsidRPr="00187B31">
              <w:rPr>
                <w:rFonts w:ascii="Verdana" w:cs="Arial" w:eastAsia="Arial" w:hAnsi="Verdana"/>
                <w:sz w:val="24"/>
              </w:rPr>
              <w:t>itle</w:t>
            </w:r>
          </w:p>
        </w:tc>
        <w:tc>
          <w:tcPr>
            <w:tcW w:type="pct" w:w="3424"/>
            <w:vAlign w:val="center"/>
          </w:tcPr>
          <w:p w:rsidP="00887EE8" w:rsidR="002B2CF2" w:rsidRDefault="00331949" w:rsidRPr="008F6F32">
            <w:pPr>
              <w:spacing w:after="120" w:before="120"/>
              <w:ind w:left="113"/>
              <w:rPr>
                <w:rFonts w:ascii="Verdana" w:cs="Arial" w:eastAsia="Arial" w:hAnsi="Verdana"/>
                <w:sz w:val="24"/>
              </w:rPr>
            </w:pPr>
            <w:r>
              <w:rPr>
                <w:rFonts w:ascii="Verdana" w:cs="Arial" w:eastAsia="Arial" w:hAnsi="Verdana"/>
                <w:noProof/>
                <w:sz w:val="24"/>
              </w:rPr>
              <w:t>Upgrade of the Čadca - Svrčinovec zastávka (incl.) railway section</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298"/>
          <w:jc w:val="center"/>
        </w:trPr>
        <w:tc>
          <w:tcPr>
            <w:tcW w:type="pct" w:w="1576"/>
            <w:gridSpan w:val="2"/>
            <w:shd w:color="auto" w:fill="FFFF99" w:val="clear"/>
          </w:tcPr>
          <w:p w:rsidP="00887EE8" w:rsidR="002B2CF2" w:rsidRDefault="002B2CF2" w:rsidRPr="008F6F32">
            <w:pPr>
              <w:spacing w:after="120" w:before="120"/>
              <w:ind w:left="113"/>
              <w:rPr>
                <w:rFonts w:ascii="Verdana" w:cs="Arial" w:eastAsia="Arial" w:hAnsi="Verdana"/>
                <w:sz w:val="24"/>
              </w:rPr>
            </w:pPr>
            <w:r w:rsidRPr="00187B31">
              <w:rPr>
                <w:rFonts w:ascii="Verdana" w:cs="Arial" w:eastAsia="Arial" w:hAnsi="Verdana"/>
                <w:sz w:val="24"/>
              </w:rPr>
              <w:t>PCI</w:t>
            </w:r>
            <w:r>
              <w:rPr>
                <w:rFonts w:ascii="Verdana" w:cs="Arial" w:eastAsia="Arial" w:hAnsi="Verdana"/>
                <w:sz w:val="24"/>
              </w:rPr>
              <w:t xml:space="preserve"> (for energy </w:t>
            </w:r>
            <w:r w:rsidR="00B96B89">
              <w:rPr>
                <w:rFonts w:ascii="Verdana" w:cs="Arial" w:eastAsia="Arial" w:hAnsi="Verdana"/>
                <w:sz w:val="24"/>
              </w:rPr>
              <w:t xml:space="preserve">and synergy </w:t>
            </w:r>
            <w:r>
              <w:rPr>
                <w:rFonts w:ascii="Verdana" w:cs="Arial" w:eastAsia="Arial" w:hAnsi="Verdana"/>
                <w:sz w:val="24"/>
              </w:rPr>
              <w:t>only)</w:t>
            </w:r>
          </w:p>
        </w:tc>
        <w:tc>
          <w:tcPr>
            <w:tcW w:type="pct" w:w="3424"/>
            <w:vAlign w:val="center"/>
          </w:tcPr>
          <w:p w:rsidP="00887EE8" w:rsidR="002B2CF2" w:rsidRDefault="0086003A" w:rsidRPr="008F6F32">
            <w:pPr>
              <w:spacing w:after="120" w:before="120"/>
              <w:ind w:left="113"/>
              <w:rPr>
                <w:rFonts w:ascii="Verdana" w:cs="Arial" w:eastAsia="Arial" w:hAnsi="Verdana"/>
                <w:sz w:val="24"/>
              </w:rPr>
            </w:pPr>
            <w:r>
              <w:rPr>
                <w:rFonts w:ascii="Verdana" w:cs="Arial" w:eastAsia="Arial" w:hAnsi="Verdana"/>
                <w:noProof/>
                <w:sz w:val="24"/>
              </w:rPr>
              <w:t/>
            </w:r>
          </w:p>
        </w:tc>
      </w:tr>
    </w:tbl>
    <w:p w:rsidR="002B2CF2" w:rsidRDefault="00E32B6D">
      <w:r w:rsidR="00310E2D">
        <w:rPr>
          <w:noProof/>
        </w:rPr>
        <w:t/>
      </w:r>
    </w:p>
    <w:tbl>
      <w:tblPr>
        <w:tblStyle w:val="TableGrid"/>
        <w:tblW w:type="pct" w:w="5003"/>
        <w:jc w:val="center"/>
        <w:tblInd w:type="dxa" w:w="0"/>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CellMar>
          <w:top w:type="dxa" w:w="13"/>
          <w:right w:type="dxa" w:w="7"/>
        </w:tblCellMar>
        <w:tblLook w:firstColumn="1" w:firstRow="1" w:lastColumn="0" w:lastRow="0" w:noHBand="0" w:noVBand="1" w:val="04A0"/>
      </w:tblPr>
      <w:tblGrid>
        <w:gridCol w:w="2861"/>
        <w:gridCol w:w="6216"/>
      </w:tblGrid>
      <w:tr w:rsidR="00AC1B86" w:rsidRPr="00187B31" w:rsidTr="000C4B70">
        <w:trPr>
          <w:trHeight w:val="355"/>
          <w:jc w:val="center"/>
        </w:trPr>
        <w:tc>
          <w:tcPr>
            <w:tcW w:type="pct" w:w="5000"/>
            <w:gridSpan w:val="2"/>
            <w:shd w:color="auto" w:fill="99CCFF" w:val="clear"/>
          </w:tcPr>
          <w:p w:rsidP="00887EE8" w:rsidR="00AC1B86" w:rsidRDefault="00AC1B86" w:rsidRPr="00187B31">
            <w:pPr>
              <w:spacing w:after="120" w:before="120"/>
              <w:ind w:left="113"/>
              <w:rPr>
                <w:rFonts w:ascii="Verdana" w:hAnsi="Verdana"/>
              </w:rPr>
            </w:pPr>
            <w:r w:rsidRPr="00252ECC">
              <w:rPr>
                <w:rFonts w:ascii="Verdana" w:cs="Arial" w:eastAsia="Arial" w:hAnsi="Verdana"/>
                <w:sz w:val="36"/>
              </w:rPr>
              <w:t>Author of the report</w:t>
            </w:r>
          </w:p>
        </w:tc>
      </w:tr>
      <w:tr w:rsidR="00AC1B86" w:rsidRPr="00187B31" w:rsidTr="000C4B70">
        <w:trPr>
          <w:trHeight w:val="653"/>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Name</w:t>
            </w:r>
          </w:p>
        </w:tc>
        <w:tc>
          <w:tcPr>
            <w:tcW w:type="pct" w:w="3424"/>
            <w:vAlign w:val="center"/>
          </w:tcPr>
          <w:p w:rsidP="00310E2D" w:rsidR="00AC1B86" w:rsidRDefault="00310E2D" w:rsidRPr="00310E2D">
            <w:pPr>
              <w:spacing w:after="120" w:before="120"/>
              <w:ind w:left="113"/>
              <w:rPr>
                <w:rFonts w:ascii="Verdana" w:cs="Arial" w:eastAsia="Arial" w:hAnsi="Verdana"/>
                <w:sz w:val="24"/>
              </w:rPr>
            </w:pPr>
            <w:r>
              <w:rPr>
                <w:rFonts w:ascii="Verdana" w:cs="Arial" w:eastAsia="Arial" w:hAnsi="Verdana"/>
                <w:noProof/>
                <w:sz w:val="24"/>
              </w:rPr>
              <w:t>Martina</w:t>
            </w:r>
            <w:r>
              <w:rPr>
                <w:rFonts w:ascii="Verdana" w:cs="Arial" w:eastAsia="Arial" w:hAnsi="Verdana"/>
                <w:sz w:val="24"/>
              </w:rPr>
              <w:t xml:space="preserve"> </w:t>
            </w:r>
            <w:r>
              <w:rPr>
                <w:rFonts w:ascii="Verdana" w:cs="Arial" w:eastAsia="Arial" w:hAnsi="Verdana"/>
                <w:noProof/>
                <w:sz w:val="24"/>
              </w:rPr>
              <w:t>Hatinová</w:t>
            </w:r>
          </w:p>
        </w:tc>
      </w:tr>
      <w:tr w:rsidR="00AC1B86" w:rsidRPr="00187B31" w:rsidTr="000C4B70">
        <w:trPr>
          <w:trHeight w:val="653"/>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Position</w:t>
            </w:r>
          </w:p>
        </w:tc>
        <w:tc>
          <w:tcPr>
            <w:tcW w:type="pct" w:w="3424"/>
            <w:vAlign w:val="center"/>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Project Manager</w:t>
            </w:r>
          </w:p>
        </w:tc>
      </w:tr>
      <w:tr w:rsidR="00AC1B86" w:rsidRPr="00187B31" w:rsidTr="000C4B70">
        <w:trPr>
          <w:trHeight w:val="637"/>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Entity</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Železnice Slovenskej republiky</w:t>
            </w:r>
          </w:p>
        </w:tc>
      </w:tr>
      <w:tr w:rsidR="00AC1B86" w:rsidRPr="00187B31" w:rsidTr="000C4B70">
        <w:trPr>
          <w:trHeight w:val="355"/>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Telephone Nº</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+421 2 2029 3459</w:t>
            </w:r>
          </w:p>
        </w:tc>
      </w:tr>
      <w:tr w:rsidR="00AC1B86" w:rsidRPr="00187B31" w:rsidTr="000C4B70">
        <w:trPr>
          <w:trHeight w:val="355"/>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E-mail</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Hatinova.Martina@zsr.sk</w:t>
            </w:r>
          </w:p>
        </w:tc>
      </w:tr>
    </w:tbl>
    <w:p w:rsidR="00514B03" w:rsidRDefault="00514B03">
      <w:pPr>
        <w:spacing w:after="0" w:line="240" w:lineRule="auto"/>
      </w:pPr>
    </w:p>
    <w:p w:rsidR="00C7427B" w:rsidRDefault="00E035B3">
      <w:pPr>
        <w:spacing w:after="0" w:line="240" w:lineRule="auto"/>
      </w:pPr>
      <w:r w:rsidR="00310E2D">
        <w:rPr>
          <w:noProof/>
        </w:rPr>
        <w:t/>
      </w:r>
      <w:r w:rsidR="00C7427B">
        <w:br w:type="page"/>
      </w:r>
    </w:p>
    <w:p w:rsidR="00C7427B" w:rsidRDefault="00C7427B"/>
    <w:tbl>
      <w:tblPr>
        <w:tblpPr w:horzAnchor="margin" w:leftFromText="180" w:rightFromText="180" w:tblpXSpec="center" w:tblpY="123" w:vertAnchor="text"/>
        <w:tblW w:type="pct" w:w="5000"/>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301882" w:rsidRPr="00187B31" w:rsidTr="00301882">
        <w:trPr>
          <w:trHeight w:val="412"/>
        </w:trPr>
        <w:tc>
          <w:tcPr>
            <w:tcW w:type="dxa" w:w="9594"/>
            <w:shd w:color="auto" w:fill="99CCFF" w:val="clear"/>
            <w:tcMar>
              <w:top w:type="dxa" w:w="113"/>
              <w:bottom w:type="dxa" w:w="113"/>
            </w:tcMar>
          </w:tcPr>
          <w:p w:rsidP="00887EE8" w:rsidR="00301882" w:rsidRDefault="00301882" w:rsidRPr="006E5959">
            <w:pPr>
              <w:keepNext/>
              <w:snapToGrid w:val="0"/>
              <w:spacing w:after="120" w:before="120"/>
              <w:ind w:left="113" w:right="-17"/>
              <w:rPr>
                <w:rFonts w:ascii="Verdana" w:hAnsi="Verdana"/>
                <w:b/>
                <w:spacing w:val="-10"/>
                <w:sz w:val="32"/>
                <w:szCs w:val="32"/>
              </w:rPr>
            </w:pPr>
            <w:r w:rsidRPr="006E5959">
              <w:rPr>
                <w:rFonts w:ascii="Verdana" w:hAnsi="Verdana"/>
                <w:b/>
                <w:spacing w:val="-10"/>
                <w:sz w:val="32"/>
                <w:szCs w:val="32"/>
              </w:rPr>
              <w:t xml:space="preserve">2. INFORMATION ON THE PROGRESS </w:t>
            </w:r>
            <w:r>
              <w:rPr>
                <w:rFonts w:ascii="Verdana" w:hAnsi="Verdana"/>
                <w:b/>
                <w:spacing w:val="-10"/>
                <w:sz w:val="32"/>
                <w:szCs w:val="32"/>
              </w:rPr>
              <w:t xml:space="preserve">OF </w:t>
            </w:r>
            <w:r w:rsidRPr="006E5959">
              <w:rPr>
                <w:rFonts w:ascii="Verdana" w:hAnsi="Verdana"/>
                <w:b/>
                <w:spacing w:val="-10"/>
                <w:sz w:val="32"/>
                <w:szCs w:val="32"/>
              </w:rPr>
              <w:t>THE ACTION</w:t>
            </w:r>
            <w:r>
              <w:rPr>
                <w:rFonts w:ascii="Verdana" w:hAnsi="Verdana"/>
                <w:b/>
                <w:spacing w:val="-10"/>
                <w:sz w:val="32"/>
                <w:szCs w:val="32"/>
              </w:rPr>
              <w:t xml:space="preserve"> </w:t>
            </w:r>
            <w:r w:rsidRPr="006A511D">
              <w:rPr>
                <w:rFonts w:ascii="Verdana" w:hAnsi="Verdana"/>
                <w:b/>
                <w:spacing w:val="-10"/>
                <w:sz w:val="24"/>
                <w:szCs w:val="32"/>
              </w:rPr>
              <w:t>(GA II.23.1.1.c</w:t>
            </w:r>
            <w:r>
              <w:rPr>
                <w:rFonts w:ascii="Verdana" w:hAnsi="Verdana"/>
                <w:b/>
                <w:spacing w:val="-10"/>
                <w:sz w:val="24"/>
                <w:szCs w:val="32"/>
              </w:rPr>
              <w:t xml:space="preserve"> or SESAR FPA II.23.1b.c</w:t>
            </w:r>
            <w:r w:rsidRPr="006A511D">
              <w:rPr>
                <w:rFonts w:ascii="Verdana" w:hAnsi="Verdana"/>
                <w:b/>
                <w:spacing w:val="-10"/>
                <w:sz w:val="24"/>
                <w:szCs w:val="32"/>
              </w:rPr>
              <w:t>)</w:t>
            </w:r>
          </w:p>
        </w:tc>
      </w:tr>
    </w:tbl>
    <w:p w:rsidR="00C7427B" w:rsidRDefault="00C7427B"/>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9E5213" w:rsidRPr="00187B31" w:rsidTr="009E5213">
        <w:trPr>
          <w:trHeight w:val="408"/>
          <w:jc w:val="center"/>
        </w:trPr>
        <w:tc>
          <w:tcPr>
            <w:tcW w:type="dxa" w:w="9594"/>
            <w:shd w:color="auto" w:fill="99CCFF" w:val="clear"/>
          </w:tcPr>
          <w:p w:rsidP="00887EE8" w:rsidR="009E5213" w:rsidRDefault="009E5213" w:rsidRPr="00187B31">
            <w:pPr>
              <w:spacing w:after="120" w:before="120"/>
              <w:ind w:left="113"/>
              <w:rPr>
                <w:rFonts w:ascii="Verdana" w:hAnsi="Verdana"/>
                <w:b/>
                <w:spacing w:val="-10"/>
              </w:rPr>
            </w:pPr>
            <w:r w:rsidRPr="00187B31">
              <w:rPr>
                <w:rFonts w:ascii="Verdana" w:hAnsi="Verdana"/>
                <w:b/>
                <w:spacing w:val="-10"/>
              </w:rPr>
              <w:t xml:space="preserve">2.1. </w:t>
            </w:r>
            <w:r>
              <w:rPr>
                <w:rFonts w:ascii="Verdana" w:hAnsi="Verdana"/>
                <w:b/>
                <w:spacing w:val="-10"/>
              </w:rPr>
              <w:t>Overall progress of the Action</w:t>
            </w:r>
            <w:r w:rsidRPr="00187B31">
              <w:rPr>
                <w:rFonts w:ascii="Verdana" w:hAnsi="Verdana"/>
                <w:b/>
                <w:spacing w:val="-10"/>
              </w:rPr>
              <w:t xml:space="preserve"> </w:t>
            </w:r>
            <w:r w:rsidR="00242468">
              <w:rPr>
                <w:rFonts w:ascii="Verdana" w:hAnsi="Verdana"/>
                <w:b/>
                <w:spacing w:val="-10"/>
              </w:rPr>
              <w:t>until the end of the previous reporting period</w:t>
            </w:r>
          </w:p>
        </w:tc>
      </w:tr>
    </w:tbl>
    <w:p w:rsidR="00C7427B" w:rsidRDefault="00C7427B"/>
    <w:tbl>
      <w:tblPr>
        <w:tblW w:type="pct" w:w="5000"/>
        <w:jc w:val="center"/>
        <w:tblLook w:firstColumn="1" w:firstRow="1" w:lastColumn="0" w:lastRow="0" w:noHBand="0" w:noVBand="1" w:val="04A0"/>
      </w:tblPr>
      <w:tblGrid>
        <w:gridCol w:w="942"/>
        <w:gridCol w:w="906"/>
        <w:gridCol w:w="1273"/>
        <w:gridCol w:w="1237"/>
        <w:gridCol w:w="1729"/>
        <w:gridCol w:w="1775"/>
        <w:gridCol w:w="1380"/>
      </w:tblGrid>
      <w:tr w:rsidR="008B6394" w:rsidRPr="00127DD0" w:rsidTr="00FC63CA">
        <w:trPr>
          <w:trHeight w:val="560"/>
          <w:jc w:val="center"/>
        </w:trPr>
        <w:tc>
          <w:tcPr>
            <w:tcW w:type="dxa" w:w="2601"/>
            <w:gridSpan w:val="2"/>
            <w:tcBorders>
              <w:top w:color="auto" w:space="0" w:sz="8" w:val="single"/>
              <w:left w:color="auto" w:space="0" w:sz="8" w:val="single"/>
              <w:bottom w:color="auto" w:space="0" w:sz="4" w:val="single"/>
              <w:right w:color="auto" w:space="0" w:sz="4" w:val="single"/>
            </w:tcBorders>
            <w:shd w:color="auto" w:fill="auto" w:val="clear"/>
            <w:noWrap/>
            <w:vAlign w:val="center"/>
            <w:hideMark/>
          </w:tcPr>
          <w:p w:rsidP="00887EE8" w:rsidR="009E5213" w:rsidRDefault="009E5213" w:rsidRPr="00127DD0">
            <w:pPr>
              <w:spacing w:after="0" w:line="240" w:lineRule="auto"/>
              <w:jc w:val="center"/>
              <w:rPr>
                <w:rFonts w:eastAsia="Times New Roman"/>
                <w:b/>
                <w:lang w:eastAsia="en-GB"/>
              </w:rPr>
            </w:pPr>
            <w:r w:rsidRPr="00127DD0">
              <w:rPr>
                <w:rFonts w:eastAsia="Times New Roman"/>
                <w:b/>
                <w:lang w:eastAsia="en-GB"/>
              </w:rPr>
              <w:t xml:space="preserve">Planned dates </w:t>
            </w:r>
            <w:r w:rsidRPr="00127DD0">
              <w:rPr>
                <w:rFonts w:eastAsia="Times New Roman"/>
                <w:b/>
                <w:sz w:val="18"/>
                <w:lang w:eastAsia="en-GB"/>
              </w:rPr>
              <w:t>(GA)</w:t>
            </w:r>
          </w:p>
        </w:tc>
        <w:tc>
          <w:tcPr>
            <w:tcW w:type="dxa" w:w="2677"/>
            <w:gridSpan w:val="2"/>
            <w:tcBorders>
              <w:top w:color="auto" w:space="0" w:sz="8" w:val="single"/>
              <w:left w:val="nil"/>
              <w:bottom w:color="auto" w:space="0" w:sz="4" w:val="single"/>
              <w:right w:color="auto" w:space="0" w:sz="4" w:val="single"/>
            </w:tcBorders>
            <w:shd w:color="auto" w:fill="auto" w:val="clear"/>
            <w:noWrap/>
            <w:vAlign w:val="center"/>
            <w:hideMark/>
          </w:tcPr>
          <w:p w:rsidP="00887EE8" w:rsidR="009E5213" w:rsidRDefault="009E5213" w:rsidRPr="00127DD0">
            <w:pPr>
              <w:spacing w:after="0" w:line="240" w:lineRule="auto"/>
              <w:jc w:val="center"/>
              <w:rPr>
                <w:rFonts w:eastAsia="Times New Roman"/>
                <w:b/>
                <w:lang w:eastAsia="en-GB"/>
              </w:rPr>
            </w:pPr>
            <w:r>
              <w:rPr>
                <w:rFonts w:eastAsia="Times New Roman"/>
                <w:b/>
                <w:lang w:eastAsia="en-GB"/>
              </w:rPr>
              <w:t>Previous</w:t>
            </w:r>
            <w:r w:rsidRPr="00127DD0">
              <w:rPr>
                <w:rFonts w:eastAsia="Times New Roman"/>
                <w:b/>
                <w:lang w:eastAsia="en-GB"/>
              </w:rPr>
              <w:t xml:space="preserve"> ASR dates</w:t>
            </w:r>
          </w:p>
        </w:tc>
        <w:tc>
          <w:tcPr>
            <w:tcW w:type="dxa" w:w="2649"/>
            <w:gridSpan w:val="2"/>
            <w:tcBorders>
              <w:top w:color="auto" w:space="0" w:sz="8" w:val="single"/>
              <w:left w:val="nil"/>
              <w:bottom w:color="auto" w:space="0" w:sz="4" w:val="single"/>
              <w:right w:color="auto" w:space="0" w:sz="4" w:val="single"/>
            </w:tcBorders>
            <w:shd w:color="auto" w:fill="auto" w:val="clear"/>
            <w:noWrap/>
            <w:vAlign w:val="center"/>
            <w:hideMark/>
          </w:tcPr>
          <w:p w:rsidP="004B31A7" w:rsidR="009E5213" w:rsidRDefault="004B31A7" w:rsidRPr="00127DD0">
            <w:pPr>
              <w:spacing w:after="0" w:line="240" w:lineRule="auto"/>
              <w:jc w:val="center"/>
              <w:rPr>
                <w:rFonts w:eastAsia="Times New Roman"/>
                <w:b/>
                <w:lang w:eastAsia="en-GB"/>
              </w:rPr>
            </w:pPr>
            <w:r>
              <w:rPr>
                <w:rFonts w:eastAsia="Times New Roman"/>
                <w:b/>
                <w:lang w:eastAsia="en-GB"/>
              </w:rPr>
              <w:t>Actual</w:t>
            </w:r>
            <w:r w:rsidR="009E5213" w:rsidRPr="00127DD0">
              <w:rPr>
                <w:rFonts w:eastAsia="Times New Roman"/>
                <w:b/>
                <w:lang w:eastAsia="en-GB"/>
              </w:rPr>
              <w:t xml:space="preserve"> dates</w:t>
            </w:r>
          </w:p>
        </w:tc>
        <w:tc>
          <w:tcPr>
            <w:tcW w:type="dxa" w:w="1315"/>
            <w:vMerge w:val="restart"/>
            <w:tcBorders>
              <w:top w:color="auto" w:space="0" w:sz="8" w:val="single"/>
              <w:left w:color="auto" w:space="0" w:sz="4" w:val="single"/>
              <w:right w:color="auto" w:space="0" w:sz="4" w:val="single"/>
            </w:tcBorders>
            <w:shd w:color="auto" w:fill="auto" w:val="clear"/>
            <w:vAlign w:val="center"/>
            <w:hideMark/>
          </w:tcPr>
          <w:p w:rsidP="00462537" w:rsidR="009E5213" w:rsidRDefault="00462537" w:rsidRPr="00127DD0">
            <w:pPr>
              <w:spacing w:after="0" w:line="240" w:lineRule="auto"/>
              <w:jc w:val="center"/>
              <w:rPr>
                <w:rFonts w:eastAsia="Times New Roman"/>
                <w:b/>
                <w:lang w:eastAsia="en-GB"/>
              </w:rPr>
            </w:pPr>
            <w:r>
              <w:rPr>
                <w:rFonts w:eastAsia="Times New Roman"/>
                <w:b/>
                <w:lang w:eastAsia="en-GB"/>
              </w:rPr>
              <w:t>Overall t</w:t>
            </w:r>
            <w:r w:rsidR="00242468">
              <w:rPr>
                <w:rFonts w:eastAsia="Times New Roman"/>
                <w:b/>
                <w:lang w:eastAsia="en-GB"/>
              </w:rPr>
              <w:t>echnical p</w:t>
            </w:r>
            <w:r w:rsidR="009E5213" w:rsidRPr="00127DD0">
              <w:rPr>
                <w:rFonts w:eastAsia="Times New Roman"/>
                <w:b/>
                <w:lang w:eastAsia="en-GB"/>
              </w:rPr>
              <w:t xml:space="preserve">rogress achieved at the end of the </w:t>
            </w:r>
            <w:r w:rsidR="00242468">
              <w:rPr>
                <w:rFonts w:eastAsia="Times New Roman"/>
                <w:b/>
                <w:lang w:eastAsia="en-GB"/>
              </w:rPr>
              <w:t xml:space="preserve">previous </w:t>
            </w:r>
            <w:r w:rsidR="009E5213" w:rsidRPr="00127DD0">
              <w:rPr>
                <w:rFonts w:eastAsia="Times New Roman"/>
                <w:b/>
                <w:lang w:eastAsia="en-GB"/>
              </w:rPr>
              <w:t xml:space="preserve">reporting period </w:t>
            </w:r>
            <w:r w:rsidR="009E5213" w:rsidRPr="00127DD0">
              <w:rPr>
                <w:rFonts w:eastAsia="Times New Roman"/>
                <w:b/>
                <w:sz w:val="18"/>
                <w:lang w:eastAsia="en-GB"/>
              </w:rPr>
              <w:t>(%)</w:t>
            </w:r>
            <w:r w:rsidR="009E5213">
              <w:rPr>
                <w:rFonts w:eastAsia="Times New Roman"/>
                <w:b/>
                <w:sz w:val="18"/>
                <w:lang w:eastAsia="en-GB"/>
              </w:rPr>
              <w:t>*</w:t>
            </w:r>
          </w:p>
        </w:tc>
      </w:tr>
      <w:tr w:rsidR="008B6394" w:rsidRPr="0004062D" w:rsidTr="00FC63CA">
        <w:trPr>
          <w:trHeight w:val="560"/>
          <w:jc w:val="center"/>
        </w:trPr>
        <w:tc>
          <w:tcPr>
            <w:tcW w:type="dxa" w:w="1313"/>
            <w:tcBorders>
              <w:top w:val="nil"/>
              <w:left w:color="auto" w:space="0" w:sz="8" w:val="single"/>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28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3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339"/>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1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331"/>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15"/>
            <w:vMerge/>
            <w:tcBorders>
              <w:left w:color="auto" w:space="0" w:sz="4" w:val="single"/>
              <w:bottom w:color="auto" w:space="0" w:sz="8" w:val="single"/>
              <w:right w:color="auto" w:space="0" w:sz="4" w:val="single"/>
            </w:tcBorders>
            <w:vAlign w:val="center"/>
            <w:hideMark/>
          </w:tcPr>
          <w:p w:rsidP="00887EE8" w:rsidR="009E5213" w:rsidRDefault="009E5213" w:rsidRPr="0004062D">
            <w:pPr>
              <w:spacing w:after="0" w:line="240" w:lineRule="auto"/>
              <w:rPr>
                <w:rFonts w:eastAsia="Times New Roman"/>
                <w:lang w:eastAsia="en-GB"/>
              </w:rPr>
            </w:pPr>
          </w:p>
        </w:tc>
      </w:tr>
      <w:tr w:rsidR="008B6394" w:rsidRPr="0004062D" w:rsidTr="00597DD7">
        <w:trPr>
          <w:trHeight w:val="300"/>
          <w:jc w:val="center"/>
        </w:trPr>
        <w:tc>
          <w:tcPr>
            <w:tcW w:type="dxa" w:w="1313"/>
            <w:tcBorders>
              <w:top w:val="nil"/>
              <w:left w:color="auto" w:space="0" w:sz="8" w:val="single"/>
              <w:bottom w:color="000000" w:space="0" w:sz="8" w:val="single"/>
              <w:right w:color="auto" w:space="0" w:sz="4" w:val="single"/>
            </w:tcBorders>
            <w:shd w:color="auto" w:fill="auto" w:val="clear"/>
            <w:noWrap/>
            <w:vAlign w:val="center"/>
          </w:tcPr>
          <w:p w:rsidP="00A66273" w:rsidR="009E5213" w:rsidRDefault="00A877EE" w:rsidRPr="0004062D">
            <w:pPr>
              <w:spacing w:after="0" w:line="240" w:lineRule="auto"/>
              <w:rPr>
                <w:rFonts w:eastAsia="Times New Roman"/>
                <w:lang w:eastAsia="en-GB"/>
              </w:rPr>
            </w:pPr>
            <w:r>
              <w:rPr>
                <w:rFonts w:eastAsia="Times New Roman"/>
                <w:noProof/>
                <w:lang w:eastAsia="en-GB"/>
              </w:rPr>
              <w:t>05/03/2020</w:t>
            </w:r>
          </w:p>
        </w:tc>
        <w:tc>
          <w:tcPr>
            <w:tcW w:type="dxa" w:w="1288"/>
            <w:tcBorders>
              <w:top w:val="nil"/>
              <w:left w:val="nil"/>
              <w:bottom w:color="000000" w:space="0" w:sz="8" w:val="single"/>
              <w:right w:color="auto" w:space="0" w:sz="4" w:val="single"/>
            </w:tcBorders>
            <w:shd w:color="auto" w:fill="auto" w:val="clear"/>
            <w:noWrap/>
            <w:vAlign w:val="center"/>
          </w:tcPr>
          <w:p w:rsidP="00A66273" w:rsidR="009E5213" w:rsidRDefault="00A877EE" w:rsidRPr="0004062D">
            <w:pPr>
              <w:spacing w:after="0" w:line="240" w:lineRule="auto"/>
              <w:rPr>
                <w:rFonts w:eastAsia="Times New Roman"/>
                <w:lang w:eastAsia="en-GB"/>
              </w:rPr>
            </w:pPr>
            <w:r>
              <w:rPr>
                <w:rFonts w:eastAsia="Times New Roman"/>
                <w:noProof/>
                <w:lang w:eastAsia="en-GB"/>
              </w:rPr>
              <w:t>31/12/2024</w:t>
            </w:r>
          </w:p>
        </w:tc>
        <w:tc>
          <w:tcPr>
            <w:tcW w:type="dxa" w:w="1338"/>
            <w:tcBorders>
              <w:top w:val="nil"/>
              <w:left w:val="nil"/>
              <w:bottom w:color="000000" w:space="0" w:sz="8" w:val="single"/>
              <w:right w:color="auto" w:space="0" w:sz="4" w:val="single"/>
            </w:tcBorders>
            <w:shd w:color="auto" w:fill="auto" w:val="clear"/>
            <w:noWrap/>
            <w:vAlign w:val="center"/>
          </w:tcPr>
          <w:p w:rsidP="00A66273" w:rsidR="009E5213" w:rsidRDefault="00F82123" w:rsidRPr="00BC26B8">
            <w:pPr>
              <w:spacing w:after="0" w:line="240" w:lineRule="auto"/>
              <w:rPr>
                <w:rFonts w:eastAsia="Times New Roman"/>
                <w:lang w:eastAsia="en-GB"/>
              </w:rPr>
            </w:pPr>
            <w:r w:rsidR="008A130B">
              <w:rPr>
                <w:rFonts w:eastAsia="Times New Roman"/>
                <w:noProof/>
                <w:lang w:eastAsia="en-GB"/>
              </w:rPr>
              <w:t>05/03/2020</w:t>
            </w:r>
          </w:p>
        </w:tc>
        <w:tc>
          <w:tcPr>
            <w:tcW w:type="dxa" w:w="1339"/>
            <w:tcBorders>
              <w:top w:val="nil"/>
              <w:left w:val="nil"/>
              <w:bottom w:color="000000" w:space="0" w:sz="8" w:val="single"/>
              <w:right w:color="auto" w:space="0" w:sz="4" w:val="single"/>
            </w:tcBorders>
            <w:shd w:color="auto" w:fill="auto" w:val="clear"/>
            <w:noWrap/>
            <w:vAlign w:val="center"/>
          </w:tcPr>
          <w:p w:rsidP="00A66273" w:rsidR="009E5213" w:rsidRDefault="00F82123" w:rsidRPr="00BC26B8">
            <w:pPr>
              <w:spacing w:after="0" w:line="240" w:lineRule="auto"/>
              <w:rPr>
                <w:rFonts w:eastAsia="Times New Roman"/>
                <w:lang w:eastAsia="en-GB"/>
              </w:rPr>
            </w:pPr>
            <w:r>
              <w:rPr>
                <w:rFonts w:eastAsia="Times New Roman"/>
                <w:noProof/>
                <w:lang w:eastAsia="en-GB"/>
              </w:rPr>
              <w:t>11/03/2025</w:t>
            </w:r>
          </w:p>
        </w:tc>
        <w:tc>
          <w:tcPr>
            <w:tcW w:type="dxa" w:w="1318"/>
            <w:tcBorders>
              <w:top w:val="nil"/>
              <w:left w:val="nil"/>
              <w:bottom w:color="000000" w:space="0" w:sz="8" w:val="single"/>
              <w:right w:color="auto" w:space="0" w:sz="4" w:val="single"/>
            </w:tcBorders>
            <w:shd w:color="auto" w:fill="auto" w:val="clear"/>
            <w:noWrap/>
            <w:vAlign w:val="center"/>
          </w:tcPr>
          <w:p w:rsidP="001F5EB1" w:rsidR="009E5213" w:rsidRDefault="0002778D" w:rsidRPr="0004062D">
            <w:pPr>
              <w:spacing w:after="0" w:line="240" w:lineRule="auto"/>
              <w:rPr>
                <w:rFonts w:eastAsia="Times New Roman"/>
                <w:lang w:eastAsia="en-GB"/>
              </w:rPr>
            </w:pPr>
            <w:r>
              <w:rPr>
                <w:rFonts w:eastAsia="Times New Roman"/>
                <w:noProof/>
                <w:lang w:eastAsia="en-GB"/>
              </w:rPr>
              <w:t>05/03/2020</w:t>
            </w:r>
          </w:p>
        </w:tc>
        <w:tc>
          <w:tcPr>
            <w:tcW w:type="dxa" w:w="1331"/>
            <w:tcBorders>
              <w:top w:val="nil"/>
              <w:left w:val="nil"/>
              <w:bottom w:color="000000" w:space="0" w:sz="8" w:val="single"/>
              <w:right w:color="auto" w:space="0" w:sz="4" w:val="single"/>
            </w:tcBorders>
            <w:shd w:color="auto" w:fill="auto" w:val="clear"/>
            <w:noWrap/>
            <w:vAlign w:val="center"/>
          </w:tcPr>
          <w:p w:rsidP="001F5EB1" w:rsidR="009E5213" w:rsidRDefault="0002778D" w:rsidRPr="0004062D">
            <w:pPr>
              <w:spacing w:after="0" w:line="240" w:lineRule="auto"/>
              <w:rPr>
                <w:rFonts w:eastAsia="Times New Roman"/>
                <w:lang w:eastAsia="en-GB"/>
              </w:rPr>
            </w:pPr>
            <w:r>
              <w:rPr>
                <w:rFonts w:eastAsia="Times New Roman"/>
                <w:noProof/>
                <w:lang w:eastAsia="en-GB"/>
              </w:rPr>
              <w:t>11/03/2025</w:t>
            </w:r>
          </w:p>
        </w:tc>
        <w:tc>
          <w:tcPr>
            <w:tcW w:type="dxa" w:w="1315"/>
            <w:tcBorders>
              <w:top w:val="nil"/>
              <w:left w:val="nil"/>
              <w:bottom w:color="000000" w:space="0" w:sz="8" w:val="single"/>
              <w:right w:color="auto" w:space="0" w:sz="4" w:val="single"/>
            </w:tcBorders>
            <w:shd w:color="auto" w:fill="auto" w:val="clear"/>
            <w:noWrap/>
            <w:vAlign w:val="center"/>
          </w:tcPr>
          <w:p w:rsidP="005C32CB" w:rsidR="00E61275" w:rsidRDefault="005C32CB" w:rsidRPr="00393F18">
            <w:pPr>
              <w:spacing w:after="0" w:line="240" w:lineRule="auto"/>
              <w:jc w:val="center"/>
              <w:rPr>
                <w:rFonts w:eastAsia="Times New Roman"/>
                <w:lang w:eastAsia="en-GB"/>
              </w:rPr>
            </w:pPr>
            <w:r>
              <w:rPr>
                <w:rFonts w:eastAsia="Times New Roman"/>
                <w:noProof/>
                <w:lang w:eastAsia="en-GB"/>
              </w:rPr>
              <w:t>70.00</w:t>
            </w:r>
          </w:p>
        </w:tc>
      </w:tr>
      <w:tr w:rsidR="009E5213" w:rsidRPr="00127DD0" w:rsidTr="00FC63CA">
        <w:trPr>
          <w:trHeight w:val="300"/>
          <w:jc w:val="center"/>
        </w:trPr>
        <w:tc>
          <w:tcPr>
            <w:tcW w:type="dxa" w:w="9242"/>
            <w:gridSpan w:val="7"/>
            <w:tcBorders>
              <w:top w:color="000000" w:space="0" w:sz="8" w:val="single"/>
              <w:left w:color="auto" w:space="0" w:sz="8" w:val="single"/>
              <w:bottom w:color="000000" w:space="0" w:sz="8" w:val="single"/>
              <w:right w:color="000000" w:space="0" w:sz="8" w:val="single"/>
            </w:tcBorders>
            <w:shd w:color="auto" w:fill="auto" w:val="clear"/>
            <w:noWrap/>
            <w:vAlign w:val="bottom"/>
          </w:tcPr>
          <w:p w:rsidP="00887EE8" w:rsidR="009E5213" w:rsidRDefault="009E5213" w:rsidRPr="00127DD0">
            <w:pPr>
              <w:spacing w:after="0" w:line="240" w:lineRule="auto"/>
              <w:jc w:val="center"/>
              <w:rPr>
                <w:rStyle w:val="CommentReference"/>
                <w: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9E5213" w:rsidRPr="0004062D" w:rsidTr="00FC63CA">
        <w:trPr>
          <w:trHeight w:val="641"/>
          <w:jc w:val="center"/>
        </w:trPr>
        <w:tc>
          <w:tcPr>
            <w:tcW w:type="dxa" w:w="9242"/>
            <w:gridSpan w:val="7"/>
            <w:tcBorders>
              <w:top w:color="000000" w:space="0" w:sz="8" w:val="single"/>
              <w:left w:color="auto" w:space="0" w:sz="8" w:val="single"/>
              <w:bottom w:color="auto" w:space="0" w:sz="8" w:val="single"/>
              <w:right w:color="000000" w:space="0" w:sz="8" w:val="single"/>
            </w:tcBorders>
            <w:shd w:color="auto" w:fill="auto" w:val="clear"/>
            <w:noWrap/>
            <w:vAlign w:val="center"/>
          </w:tcPr>
          <w:p w:rsidP="001F5EB1" w:rsidR="009E5213" w:rsidRDefault="00EF34CA">
            <w:pPr>
              <w:spacing w:after="0" w:line="240" w:lineRule="auto"/>
              <w:rPr>
                <w:rStyle w:val="CommentReference"/>
              </w:rPr>
            </w:pPr>
            <w:r>
              <w:rPr>
                <w:rFonts w:eastAsia="Times New Roman"/>
                <w:noProof/>
                <w:lang w:eastAsia="en-GB"/>
              </w:rPr>
              <w:t>The technical progress achieved by the Action at the end of the previous reporting period based on weighted technical progress expressed as percentage is 70,5 (Annex 1.1).</w:t>
              <w:br/>
              <w:t xml:space="preserve">The determination of technical progress is based on an already defined reporting method from applied in other Slovak CEF railway Actions previous ASRs. It also monitors its progress in each milestone so that progress can be determined as accurately (i.e., at milestone level), especially in a project of this kind, as financial progress never really fits into technical progress.</w:t>
              <w:br/>
              <w:t xml:space="preserve"/>
              <w:br/>
              <w:t xml:space="preserve">The Action´s cumulative technical progress including the planned technical progress is enclosed in Annex 8.1 and Annex 12.1.</w:t>
              <w:br/>
              <w:t xml:space="preserve"/>
            </w:r>
          </w:p>
        </w:tc>
      </w:tr>
    </w:tbl>
    <w:p w:rsidR="009E5213" w:rsidRDefault="009E5213"/>
    <w:p w:rsidR="00225F87" w:rsidRDefault="00225F87"/>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225F87" w:rsidRPr="00187B31" w:rsidTr="006530A0">
        <w:trPr>
          <w:trHeight w:val="264"/>
          <w:jc w:val="center"/>
        </w:trPr>
        <w:tc>
          <w:tcPr>
            <w:tcW w:type="dxa" w:w="9594"/>
            <w:shd w:color="auto" w:fill="99CCFF" w:val="clear"/>
            <w:tcMar>
              <w:top w:type="dxa" w:w="85"/>
              <w:bottom w:type="dxa" w:w="85"/>
            </w:tcMar>
          </w:tcPr>
          <w:p w:rsidP="00183D92" w:rsidR="00225F87" w:rsidRDefault="00225F87" w:rsidRPr="002B0D3F">
            <w:pPr>
              <w:keepNext/>
              <w:spacing w:after="120" w:before="120"/>
              <w:ind w:left="113"/>
              <w:rPr>
                <w:rFonts w:ascii="Verdana" w:hAnsi="Verdana"/>
                <w:b/>
                <w:spacing w:val="-10"/>
                <w:szCs w:val="24"/>
              </w:rPr>
            </w:pPr>
            <w:r w:rsidRPr="00187B31">
              <w:rPr>
                <w:rFonts w:ascii="Verdana" w:hAnsi="Verdana"/>
                <w:b/>
              </w:rPr>
              <w:br w:type="page"/>
            </w:r>
            <w:r w:rsidRPr="002B0D3F">
              <w:rPr>
                <w:rFonts w:ascii="Verdana" w:hAnsi="Verdana"/>
                <w:b/>
                <w:spacing w:val="-10"/>
                <w:szCs w:val="24"/>
              </w:rPr>
              <w:t xml:space="preserve">Overview of progress since </w:t>
            </w:r>
            <w:r>
              <w:rPr>
                <w:rFonts w:ascii="Verdana" w:hAnsi="Verdana"/>
                <w:b/>
                <w:spacing w:val="-10"/>
                <w:szCs w:val="24"/>
              </w:rPr>
              <w:t xml:space="preserve">the </w:t>
            </w:r>
            <w:r w:rsidRPr="002B0D3F">
              <w:rPr>
                <w:rFonts w:ascii="Verdana" w:hAnsi="Verdana"/>
                <w:b/>
                <w:spacing w:val="-10"/>
                <w:szCs w:val="24"/>
              </w:rPr>
              <w:t>start of the Action</w:t>
            </w:r>
          </w:p>
          <w:p w:rsidP="00183D92" w:rsidR="00225F87" w:rsidRDefault="00462537" w:rsidRPr="00187B31">
            <w:pPr>
              <w:keepNext/>
              <w:spacing w:after="120" w:before="120"/>
              <w:ind w:left="113"/>
              <w:rPr>
                <w:rFonts w:ascii="Verdana" w:hAnsi="Verdana"/>
                <w:b/>
                <w:spacing w:val="-10"/>
              </w:rPr>
            </w:pPr>
            <w:r w:rsidRPr="00462537">
              <w:rPr>
                <w:rFonts w:ascii="Verdana" w:hAnsi="Verdana"/>
                <w:i/>
                <w:spacing w:val="-10"/>
              </w:rPr>
              <w:t>The overview should include a description of the actual progress of the Action and per activity since the start of the Action until at the end of the previous reporting period, referring to the main issues, milestones and events that affected the progress.</w:t>
            </w:r>
          </w:p>
        </w:tc>
      </w:tr>
      <w:tr w:rsidR="00225F87" w:rsidRPr="00187B31" w:rsidTr="006530A0">
        <w:trPr>
          <w:trHeight w:val="3031"/>
          <w:jc w:val="center"/>
        </w:trPr>
        <w:tc>
          <w:tcPr>
            <w:tcW w:type="dxa" w:w="9594"/>
            <w:tcMar>
              <w:top w:type="dxa" w:w="85"/>
              <w:bottom w:type="dxa" w:w="85"/>
            </w:tcMar>
          </w:tcPr>
          <w:p w:rsidP="00887EE8" w:rsidR="00225F87" w:rsidRDefault="00705BBB" w:rsidRPr="00187B31">
            <w:pPr>
              <w:spacing w:after="120" w:before="120"/>
              <w:ind w:left="113"/>
              <w:rPr>
                <w:rFonts w:ascii="Verdana" w:hAnsi="Verdana"/>
                <w:spacing w:val="-10"/>
              </w:rPr>
            </w:pPr>
            <w:r>
              <w:rPr>
                <w:rFonts w:ascii="Verdana" w:hAnsi="Verdana"/>
                <w:noProof/>
                <w:spacing w:val="-10"/>
              </w:rPr>
              <w:t>M1: Launch of tender for construction works (Vyhlásenie verejného obstarávania na stavebné práce) (19/3/2021, in GA 31/12/2020)</w:t>
              <w:br/>
              <w:t xml:space="preserve">05/03/2020 - The draft of tender documents was sent for comments to the members of the working group with a deadline for comments by 17/03/2020. The working group is a group of ŽSR employees composed of experts from various fields such as civil engineer, economist, technician, lawyer, person with experience in the public procurement process etc. These persons will prepare tender documents, (i.e. a document according to which tenderers will process their tenders.)</w:t>
              <w:br/>
              <w:t xml:space="preserve">18/03/2020 to 30/04/2020 – In this period, the resolution of comments was in progress. Many comments concerned the documentation for the selection of the contractor and bill of quantities, co-operation with the contractor of the project documentation was required.</w:t>
              <w:br/>
              <w:t xml:space="preserve">20/04/2020 to 31/08/2020 – The solution for ensuring the cooperation from the supplier of technologies implemented so far was in progress, due to adaptation and modification of existing technologies of security devices. This was done in order to make the system compatible with each successful bidder. (An item with a fixed amount has been added to the bill of quantities, which each tenderer will include in his tender.)</w:t>
              <w:br/>
              <w:t xml:space="preserve">11/09/2020 - A meeting was held between ŽSR, the Ministry of Transport and Construction of the Slovak Republic and the contractor of the project documentation in order to redistribute the construction costs financed from CEF (Section A) and OPII (Section B).</w:t>
              <w:br/>
              <w:t xml:space="preserve">29/10/2020 – The draft of the tender documents was sent for the opinion to the company that provides technical assistance to ŽSR in the field of public procurement (technical assistance). The task was to assess the draft tender documents in terms of compliance with Act no. 343/2015 Coll. on Public Procurement and on Amendments to Certain Acts, as amended.</w:t>
              <w:br/>
              <w:t xml:space="preserve">20/11/2020 - delivery of comments on the draft tender documents from technical assistance</w:t>
              <w:br/>
              <w:t xml:space="preserve">27/11/2020 - sending a completed proposal of tender documents for the expression of technical assistance</w:t>
              <w:br/>
              <w:t xml:space="preserve">01/12/2020 - approval of the draft tender documents from technical assistance</w:t>
              <w:br/>
              <w:t xml:space="preserve">21/12/2020 - sending the draft tender documents for comments to the members of the working group with a deadline for comments by 07/01/2021.</w:t>
              <w:br/>
              <w:t xml:space="preserve">08/01/2021 to 11/02/2021 - incorporation of comments into the draft of tender documents and into public procurement notice (Several professional units of ŽSR were involved.)</w:t>
              <w:br/>
              <w:t xml:space="preserve">12/02/2021 - delivery of documents to the Ministry of Transport and Construction for inspection before the announcement of public procurement</w:t>
              <w:br/>
              <w:t xml:space="preserve">22/02/2021 - delivery of comments of the Ministry of Transport and Construction of the Slovak Republic (MoT) on the documentation (e.g. update the estimated value of the contract to the price level of 4.Q / 2020)</w:t>
              <w:br/>
              <w:t xml:space="preserve">03/03/2021 - delivery of requirements of MoT</w:t>
              <w:br/>
              <w:t xml:space="preserve">09/03/2021 - delivery of MoT´s opinion and inspection report - no deficiencies were found and the submitted updated documentation was accepted</w:t>
              <w:br/>
              <w:t xml:space="preserve">15/03/2021 - sending of the public procurement notice for publication in the Office Journal and in the Public Procurement Bulletin</w:t>
              <w:br/>
              <w:t xml:space="preserve">19/03/2021 - Publication of a notice in the Official Journal of the EU</w:t>
              <w:br/>
              <w:t xml:space="preserve">https://ted.europa.eu/udl?uri=TED:NOTICE:135294-2021:TEXT:EN:HTML&amp;src=0&amp;tabId=1  </w:t>
              <w:br/>
              <w:t xml:space="preserve">22/03/2021 - publication of a notice in the Public Procurement Bulletin</w:t>
              <w:br/>
              <w:t xml:space="preserve"><![CDATA[https://www.uvo.gov.sk/vestnik/oznamenie/detail/491701?page=1&limit=20&sort=datumZverejnenia&sort-dir=DESC&ext=0&cisloOznamenia=&text=&year=0&dzOd=&dzDo=&cvestnik=&doznamenia=-1&dzakazky=-1&dpostupu=-1&mdodania=&kcpv=&opb=&szfeu=&flimit=-1&nobstaravatel=&nzakazky=]]></w:t>
              <w:br/>
              <w:t xml:space="preserve">There are attached the Annex 6.1 and 6.2. Milestone was reached. </w:t>
              <w:br/>
              <w:t xml:space="preserve"/>
              <w:br/>
              <w:t xml:space="preserve">M2: Launch of tender for construction supervision services (Vyhlásenie verejného obstarávania na služby stavebného dozoru) (12/01/2022, in GA 31/12/2020)</w:t>
              <w:br/>
              <w:t xml:space="preserve">02/11/2020 - establishment of a working group for the processing of tender documents for the provision of services (construction supervision)</w:t>
              <w:br/>
              <w:t xml:space="preserve">06/11/2020 to 21/12/2020 - preparation of documents (description of the service, type and expertise of specialists for the performance of construction supervision, draft contract)</w:t>
              <w:br/>
              <w:t xml:space="preserve">During announcement of public procurement, ŽSR was waiting until the progress was made in the public procurement for construction works. Until the bids were evaluated,  upon expiry of the time limit for the application of the review procedures, draft of the tender documents was finalized.</w:t>
              <w:br/>
              <w:t xml:space="preserve">The following important dates have taken place within this milestone:</w:t>
              <w:br/>
              <w:t xml:space="preserve">12/11/2021 - sending the draft of the tender documents for comments to members of working group with a deadline for comments by 23/11/2021</w:t>
              <w:br/>
              <w:t xml:space="preserve">24/11/2021 to 31/12/2021 - incorporation of comments into the draft of tender documents / public procurement notice (there was a need to involve several professional units of ŽSR). The tender was launched, milestone was reached. </w:t>
              <w:br/>
              <w:t xml:space="preserve">07/01/2022 - sending the public procurement notice for publication in the Office joJrnal and in the Public Procurement Bulletin</w:t>
              <w:br/>
              <w:t xml:space="preserve">12/01/2022 - publication of the notice in the Office Journal</w:t>
              <w:br/>
              <w:t xml:space="preserve">https://ted.europa.eu/udl?uri=TED:NOTICE:15776-2022:TEXT:SK:HTML&amp;src=0</w:t>
              <w:br/>
              <w:t xml:space="preserve">13/01/2022 - publication of a notice in the Public Procurement Bulletin</w:t>
              <w:br/>
              <w:t xml:space="preserve"><![CDATA[https://www.uvo.gov.sk/vestnik/oznamenie/detail/536985?page=1&limit=20&sort=datumZverejnenia&sort-dir=DESC&ext=0&cisloOznamenia=&text=&year=0&dzOd=&dzDo=&cvestnik=&doznamenia=-1&dzakazky=-1&dpostupu=-1&mdodania=&kcpv=&opb=&szfeu=&flimit=-1&nobstaravatel=&nzakazky=]]></w:t>
              <w:br/>
              <w:t xml:space="preserve">The milestone was reached.</w:t>
              <w:br/>
              <w:t xml:space="preserve"/>
              <w:br/>
              <w:t xml:space="preserve">M3: Launch of tender for authorial supervision services (Vyhlásenie verejného obstarávania na služby autorského dohľadu) (07/01/2022, in GA 05/01/2021)</w:t>
              <w:br/>
              <w:t xml:space="preserve">12/11/2020 - establishment of a working group for the processing of documents for direct negotiation proceedings (the activity of authorial supervision will be performed by the contractor of the project documentation)</w:t>
              <w:br/>
              <w:t xml:space="preserve">16/11/2020 to 30/11/2020 - preparation of a draft contract</w:t>
              <w:br/>
              <w:t xml:space="preserve">16/12/2020 - sending the draft contract for comments to the members of the working group with a deadline to comment by 05/01/2021</w:t>
              <w:br/>
              <w:t xml:space="preserve">In 02/2021 it was decided that the expenses for the authorial supervision will be paid from the resources of ŽSR (both sections) and the authorial supervision will be needed until the day of the takeover of the first construction site, (after signing the contract (M5). This is due to the fact that it is not necessary to contract the activity "participation in the inspection of the place of work" within the authorial supervision, as the performance of this activity results from the contractor of the project documentation from the previous contractual relationship.  </w:t>
              <w:br/>
              <w:t xml:space="preserve">22/12/2021 - sending the draft of contract to the selected bidder with a request to respond and provide comments by 05/01/2022</w:t>
              <w:br/>
              <w:t xml:space="preserve">05/01/2022 - the selected candidate sent comments on the draft contract</w:t>
              <w:br/>
              <w:t xml:space="preserve">07/01/2022 – ŽSR sent the selected interested party by e-mail a call for negotiations together with a draft contract - in this case, this action is considered a declaration of public procurement (Annex 10.2). The milestone was reached.</w:t>
              <w:br/>
              <w:t xml:space="preserve"/>
              <w:br/>
              <w:t xml:space="preserve">M4: Signature of the authorial supervision contract (Podpis zmluvy na autorský dohľad)  (08/02/2022, in GA 05/02/2021)</w:t>
              <w:br/>
              <w:t xml:space="preserve">14/01/2022 - negotiation of a draft of contract</w:t>
              <w:br/>
              <w:t xml:space="preserve">14/01/2022 - sending a call for a signed draft contract</w:t>
              <w:br/>
              <w:t xml:space="preserve">18/01/2022 - sending an ex ante voluntary transparency notice for publication in the Office journal and in the Public Procurement Bulletin</w:t>
              <w:br/>
              <w:t xml:space="preserve">21/01/2022 - publication of the notice in the Office journal</w:t>
              <w:br/>
              <w:t xml:space="preserve">https://ted.europa.eu/udl?uri=TED:NOTICE:36689-2022:TEXT:SK:HTML&amp;src=0</w:t>
              <w:br/>
              <w:t xml:space="preserve">24/01/2022 - publication of a notice in the Public Procurement Bulletin</w:t>
              <w:br/>
              <w:t xml:space="preserve"><![CDATA[https://www.uvo.gov.sk/vestnik/oznamenie/detail/539756?page=1&limit=20&sort=datumZverejnenia&sort-dir=DESC&ext=0&cisloOznamenia=&text=&year=0&dzOd=&dzDo=&cvestnik=&doznamenia=-1&dzakazky=-1&dpostupu=-1&mdodania=&kcpv=&opb=&szfeu=&flimit=-1&nobstaravatel=&nzakazky=]]></w:t>
              <w:br/>
              <w:t xml:space="preserve">31/01/2022 - submission of a draft of contract for signature to the General Director of ŽSR</w:t>
              <w:br/>
              <w:t xml:space="preserve">08.02.2022 - the contract was concluded </w:t>
              <w:br/>
              <w:t xml:space="preserve">(https://www.crz.gov.sk/zmluva/6203601/), the milestone was reached. </w:t>
              <w:br/>
              <w:t xml:space="preserve"/>
              <w:br/>
              <w:t xml:space="preserve">M5: Signature of the construction works contract (Podpísanie zmluvy pre realizáciu stavebných prác) (28/03/2022, in GA 15/10/2021)</w:t>
              <w:br/>
              <w:t xml:space="preserve">Until 12/07/2021, the information necessary for the elaboration of tenders and for proving the fulfillment of qualification preconditions took place. The deadline for submission of tenders was extended from 05/05/2021 to 12/07/2021 due to mistakes in public procurement and project documentation and a large number of questions. Based on the explanations, there were additions and adjustments in the bill of quantities, these adjustments in the tender documents had to be taken into account in the change of the deadline for submission of tenders, ie. extend the time for proper preparation of tender bids accordingly. Pursuant to the Public Procurement Act, ŽSR is obliged to take into account the complexity of the subject of the contract and the time required for the preparation of tenders, when setting a deadline for the submission of tenders. Therefore, ŽSR had to extend the deadline for submission of tenders, as due to explanations (corrections in the statement of acreage) it was necessary to make a substantial change in the already prepared tenders.</w:t>
              <w:br/>
              <w:t xml:space="preserve">12/07/2021 - deadline for submission of tender bids - 6 tenders were submitted</w:t>
              <w:br/>
              <w:t xml:space="preserve">12/07/2021 to 28/09/2021 - evaluation of bids</w:t>
              <w:br/>
              <w:t xml:space="preserve">04/10/2021 - sending information on the result of the evaluation of tender bids, including order of tenderers, to all tenderers who submitted a tender and their tenders were evaluated</w:t>
              <w:br/>
              <w:t xml:space="preserve">Until 18/10/2021 - deadline for submission of “review procedures” (objections to the evaluation of tender bids) by unsuccessful tenderers – no one objected</w:t>
              <w:br/>
              <w:t xml:space="preserve">19/10/2021 - sending a call for documents and a signed draft of contract to the successful tenderer - providing the cooperation needed to conclude the contract (deadline is up to 10 working days)</w:t>
              <w:br/>
              <w:t xml:space="preserve">03/11/2021 - delivery of documents and signed draft of contract</w:t>
              <w:br/>
              <w:t xml:space="preserve">04/11/2021 - delivery of application for inspection to the Public Procurement Office before the contract conclusion – it is a mandatory inspection in accordance with Slovak legislation, as it is an above-limit contract (estimated value of the contract) for construction work is higher than 5,350,000 euros excluding VAT) and the financing of the contract is from EU funds</w:t>
              <w:br/>
              <w:t xml:space="preserve">16/11/2021 - service of the decision on precaution - the Public Procurement Office ordered the suspension of the proceedings audited, except for acts related to the cancellation of the public procurement</w:t>
              <w:br/>
              <w:t xml:space="preserve">03/12/2021 - delivery of the decision to suspend the proceedings - The Public Procurement Office ordered to supplement the public procurement documentation - statements and information (Total of 41 requests). The deadline was within 15 working days from the date of delivery of this decision - to 27/12/2021.</w:t>
              <w:br/>
              <w:t xml:space="preserve">27/12/2021 - delivery of the statement of the inspected and request for extension of the deadline for delivery of other information needed</w:t>
              <w:br/>
              <w:t xml:space="preserve">30/12/2021 - delivery of the decision on the additional period for delivery of the complete original documentation no later than 18/01/2022</w:t>
              <w:br/>
              <w:t xml:space="preserve">28/01/2022 - delivery of the decision to suspend the procedure (It was necessary to complete the documentation from the public procurement procedure: 4 requests in total.)</w:t>
              <w:br/>
              <w:t xml:space="preserve">09/02/2022 - delivery of the decision of the Public Procurement Office to suspend the procedure in order to obtain an expert opinion (The inspection will be extended by maximum of 30 days.)</w:t>
              <w:br/>
              <w:t xml:space="preserve">09/03/2022 - A new law has entered into force and effect. (64/2022 Z. z.) The obligation to submit a pre-contractual inspection of the public procurement has been abolished. The Public Procurement Office will be obliged to carry out the inspection only after the conclusion of the contract.</w:t>
              <w:br/>
              <w:t xml:space="preserve">17/03/2022 - The decision of the Public Procurement Office was delivered. (As part of the pre-contractual inspection.)</w:t>
              <w:br/>
              <w:t xml:space="preserve">28/03/2022 – contract concluded (https://www.crz.gov.sk/zmluva/6293011/), the milestone was reached. </w:t>
              <w:br/>
              <w:t xml:space="preserve"/>
              <w:br/>
              <w:t xml:space="preserve">M6: Signature of the construction supervision contract (Podpis zmluvy pre stavebný dozor) (30/08/2022, in GA 15/10/2021)</w:t>
              <w:br/>
              <w:t xml:space="preserve">No actions were taken in 2021 as per this milestone. </w:t>
              <w:br/>
              <w:t xml:space="preserve">Until 14/03/2022 - there was an explanation of the information needed to prepare tenders and to demonstrate that the qualifications have been met</w:t>
              <w:br/>
              <w:t xml:space="preserve">14/03/2022 – this date is the deadline for submission of tenders; 5 offers were submitted</w:t>
              <w:br/>
              <w:t xml:space="preserve">14/03/2022  - The Commission evaluated tender  bid on the basis of the tender evaluation criterion (lowest price) and ranked them. Subsequently, the Commission  started to look into the bid of the first-ranked candidate.</w:t>
              <w:br/>
              <w:t xml:space="preserve">from 14/03/2022 to 08/07/2022 - the bid evaluation process was underway</w:t>
              <w:br/>
              <w:t xml:space="preserve">12/07/2022 - sending information about the result of the bid evaluation including the order of bidders to all bidders who submitted a bid in deadline for submitting bids and their bids were evaluated (note: no one was excluded)</w:t>
              <w:br/>
              <w:t xml:space="preserve">Until 22/07/2022 - deadline for submission of review procedures (objections to the evaluation of bids) by unsuccessful bidders; no one objected</w:t>
              <w:br/>
              <w:t xml:space="preserve">25/07/2022 - sending a call for the submission of documents and a signed draft contract to the successful applicant - providing the cooperation necessary to conclude the contract (the deadline is within 10 working days)</w:t>
              <w:br/>
              <w:t xml:space="preserve">08/08/2022 - delivery of documents and signed draft contract</w:t>
              <w:br/>
              <w:t xml:space="preserve">11/08/2022 - the inspection found that the correct business names and addresses of individual subcontractors according to the data listed in the Commercial Register of the Slovak Republic are not listed in the annexes to the contract - call for correction; 11/08/2022- rectification carried out and annexes to the contract with correct data delivered  </w:t>
              <w:br/>
              <w:t xml:space="preserve">30/08/2022 - conclusion of the contract  (https://www.crz.gov.sk/zmluva/6822716/). The milestone was reached. </w:t>
              <w:br/>
              <w:t xml:space="preserve"/>
              <w:br/>
              <w:t xml:space="preserve">M7: Approval of the communication plan (31/08/2021, in GA 31/08/2021)</w:t>
              <w:br/>
              <w:t xml:space="preserve">This milestone was fulfilled. The communication plan was prepared in cooperation with the communication department and approved by the director of investor  department. It is attached as Annex 7.1.</w:t>
              <w:br/>
              <w:t xml:space="preserve"/>
              <w:br/>
              <w:t xml:space="preserve">M8: Launch of authorial supervision (Začatie autorského dozoru) (02/08/2022, in GA 08/02/2021)</w:t>
              <w:br/>
              <w:t xml:space="preserve">Authorial supervision is a basic precondition for verifying compliance with the attributes of the project during the construction. These are checks whether the conditions set out in the building permit are complied with. Authorial supervision is a guarantor of the correctness, quality and feasibility of the future construction work within the creation of individual stages of project documentation. Its further participation in the project is during the implementation an optimal and unique tool for compliance with legislation in all areas, fulfilling the material, time and financial framework of the construction. He is perfectly acquainted with the overall current situation and the conditions prevailing under the current conditions, i.e. before the start of work, whether in relation to the traffic situation, technical parameters of individual areas of railway infrastructure, related circumstances and the possibility of designing the optimal procedure for individual construction operations. He has the greatest amount of knowledge about all technical contexts and initial assumptions for the expected results in terms of function, reliability and safety of the future construction work. The contract for the authorial supervision was concluded on February 8, 2022 and entered into force  on February 11, 2022. In accordance with the author supervision contract the author's supervision began with the handover of the construction site. The invitation to hand over and take over the construction site was sent on August 2, 2022. (Annex 10.1, Annex 10.3 and Annex 10.4). The milestone was reached.</w:t>
              <w:br/>
              <w:t xml:space="preserve"/>
              <w:br/>
              <w:t xml:space="preserve">M9: Launch of construction supervision (Začatie stavebného dozoru) (31/08/2022, in GA 22/10/2021)</w:t>
              <w:br/>
              <w:t xml:space="preserve">The construction site was handed over on August 12, 2022. For 19 days the supervision was held through the own professional exployess of ŽSR (internal supervision). The contract for the services provided (construction supervision) was signed on August 30, 2022 and entered into force on August 31, 2022 (Annex 11.1 and 11.2). The milestone was reached. </w:t>
              <w:br/>
              <w:t xml:space="preserve"/>
              <w:br/>
              <w:t xml:space="preserve">M10: Submission of an interim report on the construction supervision (Predloženie priebežnej správy o stavebnom dozore) (01/11/2022), in GA 31/12/2021)</w:t>
              <w:br/>
              <w:t xml:space="preserve">An internal professional employee of ŽSR participated on the preparation of the initial report on construction supervision. A representative of the external supervision was present at the handover of the construction site.  After taking over the service by external supervision, thes obligations to submit an interim report were transferrred to him. The content of the reports is the material, financial and time fulfillment of the construction work schedule, recording the construction progress of individual construction objects and operational files. The interim report is attached in Annex 9.1 and Annex 9.2. The milestone was reached.</w:t>
              <w:br/>
              <w:t xml:space="preserve"/>
              <w:br/>
              <w:t xml:space="preserve">M11: Submission of an interim report on the construction supervision (Predloženie priebežnej správy o stavebnom dozore) (01/04/2023, in GA 31/12/2022)</w:t>
              <w:br/>
              <w:t xml:space="preserve">The preparation of the report was handled by an external construction supervisor. The content of the report is the material, financial and time fulfillment of the construction work schedule, recording the construction progress of individual construction objects and operational files. The interim report is attached in Annex 9.3. The milestone was reached.</w:t>
              <w:br/>
              <w:t xml:space="preserve">We also attach the interim reports on the construction supervision for the 2nd, 3rd and  4th  quarter of 2023. Annex 9.4, Annex 9.5 and Annex 9.6.</w:t>
              <w:br/>
              <w:t xml:space="preserve"/>
              <w:br/>
              <w:t xml:space="preserve">M13: Launch of construction works (Zahájenie stavebných prác) (12/08/2022, in GA 01/11/2021)</w:t>
              <w:br/>
              <w:t xml:space="preserve">Construction works were initiated after handing over the construction site. In the initial phase of project implementation the main task is to equip the construction site. It is a matter of concentrating production and personnel capacities on the places selected by the contractor so that they best meet and describe his needs in terms of logistics operations in the supply of building materials, delivery distances, etc. The demarcation of engineering networks and the fulfilment of legal obligations arising from building permits, decisions of authorities (such as tree felling, removal of landfills, etc.) were in progress. The Minutes of the Construction site handover are in Annex 11.2.</w:t>
              <w:br/>
              <w:t xml:space="preserve"/>
              <w:br/>
              <w:t xml:space="preserve">The construction works during 2022 included:</w:t>
              <w:br/>
              <w:t xml:space="preserve">-</w:t>
              <w:tab/>
              <w:t xml:space="preserve">preparation of the territory - felling of trees, laying out underground lines in the administration of ŽSR and engineering networks, passporting of roads and real estate, building access roads</w:t>
              <w:br/>
              <w:t xml:space="preserve">-</w:t>
              <w:tab/>
              <w:t xml:space="preserve">Construction object – 08-33-10 retaining wall – implementation of engineering - geological survey (5 inclinometric wells on monitoring of the movement of the slope, 4 hydrogeological wells for monitoring groundwater, dynamic penetration tests).</w:t>
              <w:br/>
              <w:t xml:space="preserve"/>
              <w:br/>
              <w:t xml:space="preserve">The construction works during 2023 included:</w:t>
              <w:br/>
              <w:t xml:space="preserve">Establishing cable routes, cable transitions, laying cables before putting them into early use.</w:t>
              <w:br/>
              <w:t xml:space="preserve">Dismantling of light signals.</w:t>
              <w:br/>
              <w:t xml:space="preserve">Completion of felling of trees in preparation of the territory.</w:t>
              <w:br/>
              <w:t xml:space="preserve">Dismantling of track panels in the scope of track No. 1.</w:t>
              <w:br/>
              <w:t xml:space="preserve">Building of the ground plain for the railway substructure - laying of geosynthetics, establishing of construction layers, implementation of works on the equipment of the railway substructure (reconstruction of culverts - establishment of storage thresholds, laying of concrete prefabs).</w:t>
              <w:br/>
              <w:t xml:space="preserve"/>
              <w:br/>
              <w:t xml:space="preserve">Bridge buildings:</w:t>
              <w:br/>
              <w:t xml:space="preserve">SO 08-33-06 - construction of supports, pillars, drilling of anchors, concreting of the foundations of the straight wing, concreting of the underlying concrete of the supports.</w:t>
              <w:br/>
              <w:t xml:space="preserve">SO 08-33-01 - dismantling of the original bridge structure 08-33-01 and work on the foundation of the bridge object.</w:t>
              <w:br/>
              <w:t xml:space="preserve"/>
              <w:br/>
              <w:t xml:space="preserve">Retaining wall - implementation of micropiles, concrete work (implementation of underlying concrete, ledges, and drainage systems), installation of contact line fitting and KARI network.</w:t>
              <w:br/>
              <w:t xml:space="preserve"/>
              <w:br/>
              <w:t xml:space="preserve">Ongoing geotechnical monitoring including groundwater level measurement, regular monitoring of inclinometric drills.</w:t>
              <w:br/>
              <w:t xml:space="preserve"/>
              <w:br/>
              <w:t xml:space="preserve">Building of foundations for traction masts, assembly of masts, brackets, ropes and traction wires. Dismantling of the original assembly of the traction line.</w:t>
              <w:br/>
              <w:t xml:space="preserve"/>
              <w:br/>
              <w:t xml:space="preserve">Line relocation – DK T – Com (Slovak Telekom).</w:t>
              <w:br/>
              <w:t xml:space="preserve"/>
              <w:br/>
              <w:t xml:space="preserve">Relocation of utility networks - laying out water pipeline routes, excavation work, laying pipelines, installation of protectors, implementation of gas connection protection, establishment of relocation of the STL gas pipeline and preparation for a regular connection in 2024.</w:t>
              <w:br/>
              <w:t xml:space="preserve"/>
              <w:br/>
              <w:t xml:space="preserve">Public roads, field roads - removing the humus layer, excavation work and establishment of construction layers.</w:t>
              <w:br/>
              <w:t xml:space="preserve"/>
            </w:r>
          </w:p>
        </w:tc>
      </w:tr>
    </w:tbl>
    <w:p w:rsidR="000C4B70" w:rsidRDefault="000C4B70">
      <w:pPr>
        <w:spacing w:after="0" w:line="240" w:lineRule="auto"/>
      </w:pPr>
      <w:r>
        <w:br w:type="page"/>
      </w:r>
    </w:p>
    <w:p w:rsidP="00887EE8" w:rsidR="005E6BC3" w:rsidRDefault="005E6BC3">
      <w:pPr>
        <w:spacing w:after="120" w:before="120"/>
        <w:ind w:left="113"/>
        <w:rPr>
          <w:rFonts w:ascii="Verdana" w:hAnsi="Verdana"/>
          <w:b/>
          <w:spacing w:val="-10"/>
        </w:rPr>
        <w:sectPr w:rsidR="005E6BC3" w:rsidSect="00012B21">
          <w:headerReference r:id="rId9" w:type="default"/>
          <w:footerReference r:id="rId10" w:type="default"/>
          <w:pgSz w:h="16838" w:w="11906"/>
          <w:pgMar w:bottom="1440" w:footer="709" w:gutter="0" w:header="709" w:left="1440" w:right="1440" w:top="737"/>
          <w:cols w:space="708"/>
          <w:titlePg/>
          <w:docGrid w:linePitch="360"/>
        </w:sectPr>
      </w:pPr>
    </w:p>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14877"/>
      </w:tblGrid>
      <w:tr w:rsidR="000C4B70" w:rsidRPr="00187B31" w:rsidTr="000C4B70">
        <w:trPr>
          <w:trHeight w:val="408"/>
          <w:jc w:val="center"/>
        </w:trPr>
        <w:tc>
          <w:tcPr>
            <w:tcW w:type="dxa" w:w="9594"/>
            <w:shd w:color="auto" w:fill="99CCFF" w:val="clear"/>
          </w:tcPr>
          <w:p w:rsidP="00887EE8" w:rsidR="000C4B70" w:rsidRDefault="000C4B70" w:rsidRPr="00187B31">
            <w:pPr>
              <w:spacing w:after="120" w:before="120"/>
              <w:ind w:left="113"/>
              <w:rPr>
                <w:rFonts w:ascii="Verdana" w:hAnsi="Verdana"/>
                <w:b/>
                <w:spacing w:val="-10"/>
              </w:rPr>
            </w:pPr>
            <w:r w:rsidRPr="00187B31">
              <w:rPr>
                <w:rFonts w:ascii="Verdana" w:hAnsi="Verdana"/>
                <w:b/>
                <w:spacing w:val="-10"/>
              </w:rPr>
              <w:lastRenderedPageBreak/>
              <w:t>2</w:t>
            </w:r>
            <w:r>
              <w:rPr>
                <w:rFonts w:ascii="Verdana" w:hAnsi="Verdana"/>
                <w:b/>
                <w:spacing w:val="-10"/>
              </w:rPr>
              <w:t>.2</w:t>
            </w:r>
            <w:r w:rsidRPr="00187B31">
              <w:rPr>
                <w:rFonts w:ascii="Verdana" w:hAnsi="Verdana"/>
                <w:b/>
                <w:spacing w:val="-10"/>
              </w:rPr>
              <w:t xml:space="preserve">. </w:t>
            </w:r>
            <w:r>
              <w:rPr>
                <w:rFonts w:ascii="Verdana" w:hAnsi="Verdana"/>
                <w:b/>
                <w:spacing w:val="-10"/>
              </w:rPr>
              <w:t>Progress</w:t>
            </w:r>
            <w:r w:rsidRPr="00187B31">
              <w:rPr>
                <w:rFonts w:ascii="Verdana" w:hAnsi="Verdana"/>
                <w:b/>
                <w:spacing w:val="-10"/>
              </w:rPr>
              <w:t xml:space="preserve"> per activity </w:t>
            </w:r>
          </w:p>
        </w:tc>
      </w:tr>
    </w:tbl>
    <w:p w:rsidR="00F51FEF" w:rsidRDefault="00E32B6D">
      <w:r w:rsidR="00961318">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1</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Public procurement and project management </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05/03/2020</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14/09/2024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05/03/2020</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14/09/2024</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05/03/2020</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14/09/2024</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95.00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The methodology for calculating this value is based on the weighted percentage technical progress (Annex 1.1).</w:t>
              <w:br/>
              <w:t xml:space="preserve"/>
              <w:br/>
              <w:t xml:space="preserve">Total technical progress has the following weighted technical progress, expressed as a percentage: M1 – 15% (total value of the Milestone in Activity is 15%), M2 – 5% (total value of the Milestone in Activity is 5%), M3 - 5% (total value of the Milestone in the Activity is 5%), M4 - 10% (total value of the Milestone in</w:t>
              <w:br/>
              <w:t xml:space="preserve">the Activity is 10%), M5 – 35% (total value of the Milestone in Activity is 35%), M6 - 20% (total value of the Milestone in the Activity is 20%),  M7 – 5%</w:t>
              <w:br/>
              <w:t xml:space="preserve">(total value of the Milestone in Activity is 5%) and M17 – 0% (total value of the Milestone in Activity is 5%).</w:t>
              <w:br/>
              <w:t xml:space="preserve"/>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Launch of tender for  construction works</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19/03/2021</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19/03/2021</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19/03/2021</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delay was caused by longer preparation of public procurement mainly due to:</w:t>
              <w:br/>
              <w:t xml:space="preserve">· Adjustments to the bill of quantities:  namely contract division into two parts with regard to the financing of the subject of the contract (construction works) from two sources (Section A - CEF; Section B – Operational Programme (OP) Integrated Infrastructure) and the exclusion of construction objects to be carried out by another entity „Národná diaľničná spoločnosť, a.s.“ within another public procurement named "D3 Zelený most Svrčinovec" (The Green Bridge Svrčinovec: The ecoviaduct which will be constructed outside of the scope of CEF action) ): for these activities it was necessary to cooperate with the contractor of the project documentation.   </w:t>
              <w:br/>
              <w:t xml:space="preserve"/>
              <w:br/>
              <w:t xml:space="preserve">· Corrections of bill of quantities: there were errors in the document: incorrect names of items, differences in bill of quantities, absence of bill of quantities, modification of bill of quantities of items (were given to more than 2 decimal places), modification of formats, correction of formulas, correction of object numbers, absence of functional reference (links), adjustment of print settings, securing of the entire file for inserting only permitted data - for these activities it was necessary to repeat the cooperation with the contractor of the project documentation.  </w:t>
              <w:br/>
              <w:t xml:space="preserve"/>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Launch of tender for  construction supervision services</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12/01/2022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12/01/2022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12/01/2022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Justification of the delay:</w:t>
              <w:br/>
              <w:t xml:space="preserve">ŽSR had to wait for the progress of public procurement for the construction works. Meanwhile, tender documents for the construction supervision services were prepared. Within these documents, following  decisions has been reached:</w:t>
              <w:br/>
              <w:t xml:space="preserve">-</w:t>
              <w:tab/>
              <w:t xml:space="preserve">Requirements for key experts (construction supervision team) will be the qualification requirements of the tenderers. The tenderer will list specific persons in the tender already and submit documentation required. (Diplomas etc.) Reason: negative experience: in past,  the provider submitted documents, but did not prove sufficient professional experience by them. </w:t>
              <w:br/>
              <w:t xml:space="preserve"/>
              <w:br/>
              <w:t xml:space="preserve">-</w:t>
              <w:tab/>
              <w:t xml:space="preserve">Electronic auction will not be used when evaluating bids. Reason: negative experience from past public procurement for construction supervision, when bidders competed in price reductions and the result was low prices, but during the performance of the contract there was a situation where it was not possible to provide immediate compensation for an expert in crucial professional positions. This change in the electronic auction also resulted from the fact that the so-called super-reverse procurement procedure.</w:t>
              <w:br/>
              <w:t xml:space="preserve"/>
              <w:br/>
              <w:t xml:space="preserve">-</w:t>
              <w:tab/>
              <w:t xml:space="preserve">Also, the justification for not splitting the subject of the contract had to be elaborated in detail. (Due to future procurement controls). As in the case of a works contract, the subject of the contract is financed from 2 various EU sources:  Section A (CEF) and Section B (Operational Programme Integrated Infrastructure).</w:t>
              <w:br/>
              <w:t xml:space="preserve"/>
              <w:br/>
              <w:t xml:space="preserve">It was decided that there would be no public procurement for each section separately. The contracting of different entities would cause problems in the performance of construction supervision services within one construction site, especially in the coordination of different contractual partners.</w:t>
              <w:br/>
              <w:t xml:space="preserve"/>
              <w:br/>
              <w:t xml:space="preserve">In 2021, financing of Section B - Svrčinovec (outside) - the state border of the Czech Republic / Slovakia was also resolved. The application  form was approved on 11/10/2021 by MoT.</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3</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Launch of tender for  authorial supervision services</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07/01/2022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07/01/2022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07/01/2022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public procurement was not announced due to personnel changes in the working group for processing documents. Reasons: Change of the lawyer who terminated his employment with ŽSR and the change of the person who ensures the public procurement process, who left for another professional unit of ŽSR.In this context, it was necessary to appoint other persons to the working group, involve them in the preparation of public procurement. It was necessary to acquaint them with the draft contract, then the incorporation of comments into this document took place, acquaintance with the documents prepared so far for public procurement as well.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4</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Signature of the  authorial supervision contract</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08/02/2022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08/02/2022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08/02/2022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Because of M3 delay.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5</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Signature of the  construction works contract</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28/03/2022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28/03/2022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28/03/2022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Longer public procurement process, because of:</w:t>
              <w:br/>
              <w:t xml:space="preserve">- need to extend the deadline for submission of tenders (from 05/05/2021 to 12/07/2021) mainly due to adjustments to the bill of quantities and supplementation of project documentation, as well as a number of questions from interested parties</w:t>
              <w:br/>
              <w:t xml:space="preserve">- need to reuse the institute of explanations of offers</w:t>
              <w:br/>
              <w:t xml:space="preserve">- longer pre-contractual inspections by the Public Procurement Office</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6</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Signature of the  construction supervision contract</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30/08/2022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30/08/2022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30/08/2022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Since the contract for construction work was concluded on 28 March 2022, it was in the interest of ŽSR to conclude the contract for construction supervision as soon as possible, then to hand over the first construction site in order the construction could be implemented.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7</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Approval of the communication plan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31/08/2021</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31/08/2021</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31/08/2021</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17</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Final event organised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14/09/2024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14/09/2024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14/09/2024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2</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Construction supervision and authorial supervision</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02/08/2022</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02/08/2022</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11/03/2025</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02/08/2022</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11/03/2025</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60.00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The methodology for calculating this value is based on the weighted percentage technical progress (Annex 1.1).</w:t>
              <w:br/>
              <w:t xml:space="preserve"/>
              <w:br/>
              <w:t xml:space="preserve">Total technical progress has the following weighted technical progress, expressed as a percentage: M8 - 10% (total value of the Milestone in Activity is 10%),  M9- 10% (total value of the Milestone in Activity is 10%), M10 – 20% (total value of the Milestone in the Activity is 20%), M11 – 20% (total value of the Milestone in the Activity is 20%) and M12 – 0% (total value of the Milestone in Activity is 40%). </w:t>
              <w:br/>
              <w:t xml:space="preserve"/>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8</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Launch of authorial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02/08/2022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02/08/2022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02/08/2022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Due to delays in the public procurement notice.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9</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Launch of construction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31/08/2022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31/08/2022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31/08/2022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Due to delays in the public procurement notice.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10</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Submission of an interim report on the construction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01/11/2022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01/11/2022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01/11/2022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Due to delays in the public procurement notice.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11</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Submission of an interim report on the construction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01/04/2023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01/04/2023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01/04/2023</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12</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Completion of the construction supervision and authorial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11/03/2025</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11/03/2025</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After the completion of the construction works (milestone 16), the process of official approval takes place within the next six months, the construction supervisor prepares documents for the relevant building offices, which issue the approval decisions. The activities that will be carried out in 2025 will be covered by resources of the Railways of the Slovak Republic.</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3</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Construction works</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12/08/2022</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11/09/2024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12/08/2022</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11/09/2024</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12/08/2022</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11/09/2024</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53.00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The methodology for calculating this value is based on the weighted percentage technical progress (Annex 1.1).</w:t>
              <w:br/>
              <w:t xml:space="preserve"/>
              <w:br/>
              <w:t xml:space="preserve"/>
              <w:br/>
              <w:t xml:space="preserve">Total technical progress has the following weighted technical progress, expressed as a percentage: M13 - 10% (total value of the Milestone in Activity is 10%),  M14- 8% (total value of the Milestone in Activity is  20%), M15 – 15% (total value of the Milestone in the Activity is 20%) and M16 - 20% (total value of the Milestone in the Activity is 50%).  </w:t>
              <w:br/>
              <w:t xml:space="preserve"/>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13</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Launch of construction works</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12/08/2022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12/08/2022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12/08/2022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Due to delays in the public procurement notice.</w:t>
              <w:br/>
              <w:t xml:space="preserve"/>
              <w:br/>
              <w:t xml:space="preserve">The shift of M13 by 3,5 months  from the planned launch of construction works mentioned in previous ASR was caused by the following factors:</w:t>
              <w:br/>
              <w:t xml:space="preserve"/>
              <w:br/>
              <w:t xml:space="preserve">- time shift of the lockout activities due to the requirements of private railway carriers;</w:t>
              <w:br/>
              <w:t xml:space="preserve">- time shift of felling due to the need to carry out a new expert judgement;</w:t>
              <w:br/>
              <w:t xml:space="preserve">- ŽSR is waiting for the permission of the Ministry of Transport of the Slovak Republic to allow the construction of a temporary crossing, which must be built for the additional engineering-geological survey and the construction of the retaining wall SO 08-33-14;</w:t>
              <w:br/>
              <w:t xml:space="preserve">- An additional engineering-geological survey was carried out (in terms of the project documentation) regarding the artificial objects of the construction, which technical solution will be modified;</w:t>
              <w:br/>
              <w:t xml:space="preserve">- it is necessary to remove the illegal landfills that were discovered at the construction site of the SO 08-33-06 bridge facility;</w:t>
              <w:br/>
              <w:t xml:space="preserve">- the construction contractor is solving the access to track No. 1 and to the Kulovci outpost through the Czech Republic due to the impassability of the underpass.</w:t>
              <w:br/>
              <w:t xml:space="preserve"/>
              <w:br/>
              <w:t xml:space="preserve">For more information please see point 2.4. letter b).</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14</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Relocation of unpaved field road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15/06/2023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15/06/2023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11/09/2024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field road is located in a very difficult territory, and new access had to be built for its implementation and the passage of heavy mechanization. For this purpose, a new construction site crossing was established, which had to be permited by the relevant construction office of the Ministry of Transport of the Slovak Republic.</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15</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Retaining wall, in the vicinity of track no.1 (railway km 281.605 - 282.080)</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15/09/2023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15/09/2023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11/09/2024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In order to implement the retaining wall, it was necessary, due to the difficult territory, to build a new construction site crossing, which had to be authorized by the relevant construction office of the Ministry of Transport of the Slovak Republic. The construction site crossing had to be built for the purpose of passing the costruction mechanization necessary for the realizatio of the Construction object.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16</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Completion of construction works</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11/09/2024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11/09/2024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11/09/2024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p>
    <w:p w:rsidR="000C4B70" w:rsidRDefault="000C4B70"/>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C4B70" w:rsidRPr="00187B31" w:rsidTr="000C4B70">
        <w:trPr>
          <w:trHeight w:val="264"/>
          <w:jc w:val="center"/>
        </w:trPr>
        <w:tc>
          <w:tcPr>
            <w:tcW w:type="dxa" w:w="9594"/>
            <w:shd w:color="auto" w:fill="99CCFF" w:val="clear"/>
            <w:tcMar>
              <w:top w:type="dxa" w:w="85"/>
              <w:bottom w:type="dxa" w:w="85"/>
            </w:tcMar>
          </w:tcPr>
          <w:p w:rsidP="00086FAC" w:rsidR="000C4B70" w:rsidRDefault="000C4B70" w:rsidRPr="00950F3B">
            <w:pPr>
              <w:keepNext/>
              <w:spacing w:after="120" w:before="120"/>
              <w:ind w:left="113"/>
              <w:rPr>
                <w:rFonts w:ascii="Verdana" w:hAnsi="Verdana"/>
                <w:b/>
                <w:spacing w:val="-10"/>
              </w:rPr>
            </w:pPr>
            <w:r w:rsidRPr="00950F3B">
              <w:rPr>
                <w:rFonts w:ascii="Verdana" w:hAnsi="Verdana"/>
                <w:b/>
              </w:rPr>
              <w:br w:type="page"/>
            </w:r>
            <w:r w:rsidR="00950F3B" w:rsidRPr="00950F3B">
              <w:rPr>
                <w:rFonts w:ascii="Verdana" w:hAnsi="Verdana"/>
                <w:b/>
                <w:spacing w:val="-10"/>
              </w:rPr>
              <w:t xml:space="preserve">2.3 </w:t>
            </w:r>
            <w:r w:rsidR="007B7FD1">
              <w:rPr>
                <w:rFonts w:ascii="Verdana" w:hAnsi="Verdana"/>
                <w:b/>
                <w:spacing w:val="-10"/>
              </w:rPr>
              <w:t>If total actual costs/units deviates</w:t>
            </w:r>
            <w:r w:rsidR="00950F3B" w:rsidRPr="00950F3B">
              <w:rPr>
                <w:rFonts w:ascii="Verdana" w:hAnsi="Verdana"/>
                <w:b/>
                <w:spacing w:val="-10"/>
              </w:rPr>
              <w:t xml:space="preserve"> </w:t>
            </w:r>
            <w:r w:rsidR="00950F3B" w:rsidRPr="007B7FD1">
              <w:rPr>
                <w:rFonts w:ascii="Verdana" w:hAnsi="Verdana"/>
                <w:b/>
                <w:spacing w:val="-10"/>
              </w:rPr>
              <w:t>&gt;5%</w:t>
            </w:r>
            <w:r w:rsidR="00950F3B" w:rsidRPr="00950F3B">
              <w:rPr>
                <w:rFonts w:ascii="Verdana" w:hAnsi="Verdana"/>
                <w:b/>
                <w:spacing w:val="-10"/>
              </w:rPr>
              <w:t xml:space="preserve"> </w:t>
            </w:r>
            <w:r w:rsidR="007B7FD1">
              <w:rPr>
                <w:rFonts w:ascii="Verdana" w:hAnsi="Verdana"/>
                <w:b/>
                <w:spacing w:val="-10"/>
              </w:rPr>
              <w:t>compared to latest Grant Agreement in force, please explain why</w:t>
            </w:r>
          </w:p>
        </w:tc>
      </w:tr>
      <w:tr w:rsidR="000C4B70" w:rsidRPr="00187B31" w:rsidTr="000C4B70">
        <w:trPr>
          <w:trHeight w:val="1046"/>
          <w:jc w:val="center"/>
        </w:trPr>
        <w:tc>
          <w:tcPr>
            <w:tcW w:type="dxa" w:w="9594"/>
            <w:tcMar>
              <w:top w:type="dxa" w:w="85"/>
              <w:bottom w:type="dxa" w:w="85"/>
            </w:tcMar>
          </w:tcPr>
          <w:p w:rsidP="009A6BA9" w:rsidR="009A6BA9" w:rsidRDefault="00E035B3" w:rsidRPr="003B7434">
            <w:pPr>
              <w:spacing w:after="0" w:line="240" w:lineRule="auto"/>
            </w:pPr>
            <w:r w:rsidR="009A6BA9">
              <w:rPr>
                <w:noProof/>
              </w:rPr>
              <w:t/>
            </w:r>
            <w:r w:rsidR="009A6BA9">
              <w:rPr>
                <w:noProof/>
              </w:rPr>
              <w:t/>
            </w:r>
            <w:r w:rsidR="009A6BA9" w:rsidRPr="000C5A38">
              <w:rPr>
                <w:noProof/>
              </w:rPr>
              <w:t/>
            </w:r>
            <w:r>
              <w:rPr>
                <w:noProof/>
              </w:rPr>
              <w:t/>
            </w:r>
            <w:r w:rsidR="009A6BA9" w:rsidRPr="000C5A38">
              <w:rPr>
                <w:noProof/>
              </w:rPr>
              <w:t/>
            </w:r>
            <w:r>
              <w:rPr>
                <w:noProof/>
              </w:rPr>
              <w:t/>
            </w:r>
            <w:r w:rsidR="009A6BA9" w:rsidRPr="000C5A38">
              <w:rPr>
                <w:noProof/>
              </w:rPr>
              <w:t/>
            </w:r>
            <w:r>
              <w:rPr>
                <w:noProof/>
              </w:rPr>
              <w:t/>
            </w:r>
            <w:r w:rsidRPr="000D689C">
              <w:rPr>
                <w:noProof/>
              </w:rPr>
              <w:t/>
            </w:r>
            <w:r w:rsidRPr="000D689C">
              <w:rPr>
                <w:rFonts w:ascii="Verdana" w:eastAsia="Times New Roman" w:hAnsi="Verdana"/>
                <w:bCs/>
                <w:spacing w:val="-10"/>
                <w:lang w:eastAsia="en-GB"/>
              </w:rPr>
              <w:t>Not applicable</w:t>
            </w:r>
            <w:r w:rsidRPr="00665206">
              <w:rPr>
                <w:noProof/>
              </w:rPr>
              <w:t/>
            </w:r>
          </w:p>
        </w:tc>
      </w:tr>
    </w:tbl>
    <w:p w:rsidR="00AB36AE" w:rsidRDefault="00AB36A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40170C" w:rsidRPr="00187B31" w:rsidTr="00CB6370">
        <w:trPr>
          <w:trHeight w:val="264"/>
          <w:jc w:val="center"/>
        </w:trPr>
        <w:tc>
          <w:tcPr>
            <w:tcW w:type="dxa" w:w="9594"/>
            <w:shd w:color="auto" w:fill="99CCFF" w:val="clear"/>
            <w:tcMar>
              <w:top w:type="dxa" w:w="85"/>
              <w:bottom w:type="dxa" w:w="85"/>
            </w:tcMar>
          </w:tcPr>
          <w:p w:rsidP="002A0EA4" w:rsidR="002A0EA4" w:rsidRDefault="002A0EA4">
            <w:pPr>
              <w:keepNext/>
              <w:spacing w:after="120" w:before="120"/>
              <w:ind w:left="113"/>
              <w:rPr>
                <w:rFonts w:ascii="Verdana" w:hAnsi="Verdana"/>
                <w:b/>
                <w:spacing w:val="-10"/>
                <w:u w:val="single"/>
              </w:rPr>
            </w:pPr>
            <w:r w:rsidRPr="002A0EA4">
              <w:rPr>
                <w:rFonts w:ascii="Verdana" w:hAnsi="Verdana"/>
                <w:b/>
                <w:spacing w:val="-10"/>
              </w:rPr>
              <w:t xml:space="preserve">2.4. Description of the Action's and activities' progress planned </w:t>
            </w:r>
            <w:r w:rsidRPr="002A0EA4">
              <w:rPr>
                <w:rFonts w:ascii="Verdana" w:hAnsi="Verdana"/>
                <w:b/>
                <w:spacing w:val="-10"/>
                <w:u w:val="single"/>
              </w:rPr>
              <w:t>in the on-going reporting period and until the end of implementation of the Action</w:t>
            </w:r>
          </w:p>
          <w:p w:rsidP="002A0EA4" w:rsidR="009C0B54" w:rsidRDefault="009C0B54" w:rsidRPr="002A0EA4">
            <w:pPr>
              <w:keepNext/>
              <w:spacing w:after="120" w:before="120"/>
              <w:ind w:left="113"/>
              <w:rPr>
                <w:rFonts w:ascii="Verdana" w:hAnsi="Verdana"/>
                <w:b/>
                <w:spacing w:val="-10"/>
                <w:u w:val="single"/>
              </w:rPr>
            </w:pPr>
          </w:p>
          <w:p w:rsidP="002A0EA4" w:rsidR="002A0EA4" w:rsidRDefault="009C0B54" w:rsidRPr="002A0EA4">
            <w:pPr>
              <w:keepNext/>
              <w:spacing w:after="120" w:before="120"/>
              <w:rPr>
                <w:rFonts w:ascii="Verdana" w:hAnsi="Verdana"/>
                <w:i/>
                <w:spacing w:val="-10"/>
              </w:rPr>
            </w:pPr>
            <w:r>
              <w:rPr>
                <w:rFonts w:ascii="Verdana" w:hAnsi="Verdana"/>
                <w:i/>
                <w:spacing w:val="-10"/>
              </w:rPr>
              <w:t>a) Provide a description of the</w:t>
            </w:r>
            <w:r w:rsidR="002A0EA4" w:rsidRPr="002A0EA4">
              <w:rPr>
                <w:rFonts w:ascii="Verdana" w:hAnsi="Verdana"/>
                <w:i/>
                <w:spacing w:val="-10"/>
              </w:rPr>
              <w:t xml:space="preserve"> planned progress of the activities in the on-going reporting period and, where applicable, beyond the on-going reporting period up until the end of the implementation of the Action (if the on-going reporting period is not the last one). </w:t>
            </w:r>
          </w:p>
          <w:p w:rsidP="002A0EA4" w:rsidR="002A0EA4" w:rsidRDefault="002A0EA4" w:rsidRPr="002A0EA4">
            <w:pPr>
              <w:keepNext/>
              <w:spacing w:after="120" w:before="120"/>
              <w:rPr>
                <w:rFonts w:ascii="Verdana" w:hAnsi="Verdana"/>
                <w:i/>
                <w:spacing w:val="-10"/>
              </w:rPr>
            </w:pPr>
            <w:r w:rsidRPr="002A0EA4">
              <w:rPr>
                <w:rFonts w:ascii="Verdana" w:hAnsi="Verdana"/>
                <w:i/>
                <w:spacing w:val="-10"/>
              </w:rPr>
              <w:t xml:space="preserve">b) Highlight and explain any deviation (e.g. on objectives of the Action, the completion of the planned activities, the cost-breakdown, Action's end date, etc.) in comparison to the latest grant agreement in force and, where applicable, latest ASR. </w:t>
            </w:r>
          </w:p>
          <w:p w:rsidP="002A0EA4" w:rsidR="0040170C" w:rsidRDefault="002A0EA4" w:rsidRPr="002A0EA4">
            <w:pPr>
              <w:keepNext/>
              <w:spacing w:after="120" w:before="120"/>
              <w:rPr>
                <w:rFonts w:ascii="Verdana" w:hAnsi="Verdana"/>
                <w:b/>
                <w:spacing w:val="-10"/>
              </w:rPr>
            </w:pPr>
            <w:r w:rsidRPr="002A0EA4">
              <w:rPr>
                <w:rFonts w:ascii="Verdana" w:hAnsi="Verdana"/>
                <w:i/>
                <w:spacing w:val="-10"/>
              </w:rPr>
              <w:t>c) Identify any expected/foreseen risk(s) that may challenge the actual end date of the Action and the associated mitigation plan(s).</w:t>
            </w:r>
          </w:p>
        </w:tc>
      </w:tr>
      <w:tr w:rsidR="0040170C" w:rsidRPr="00187B31" w:rsidTr="00CB6370">
        <w:trPr>
          <w:trHeight w:val="2440"/>
          <w:jc w:val="center"/>
        </w:trPr>
        <w:tc>
          <w:tcPr>
            <w:tcW w:type="dxa" w:w="9594"/>
            <w:tcMar>
              <w:top w:type="dxa" w:w="85"/>
              <w:bottom w:type="dxa" w:w="85"/>
            </w:tcMar>
          </w:tcPr>
          <w:p w:rsidP="0061142E" w:rsidR="0040170C" w:rsidRDefault="00A52058" w:rsidRPr="00187B31">
            <w:pPr>
              <w:spacing w:after="120" w:before="120"/>
              <w:ind w:left="113"/>
              <w:rPr>
                <w:rFonts w:ascii="Verdana" w:hAnsi="Verdana"/>
                <w:spacing w:val="-10"/>
              </w:rPr>
            </w:pPr>
            <w:r>
              <w:rPr>
                <w:rFonts w:ascii="Verdana" w:hAnsi="Verdana"/>
                <w:noProof/>
                <w:spacing w:val="-10"/>
              </w:rPr>
              <w:t>M12: Completion of the construction supervision and authorial supervision (Ukončenie stavebného dozoru a autorského dozoru) (11/03/2025, in GA 31/12/2024)</w:t>
              <w:br/>
              <w:t xml:space="preserve">The postponement of the deadline for the completion of construction and authorial supervision is related to the postponed deadline for the completion of construction works (milestone 16).</w:t>
              <w:br/>
              <w:t xml:space="preserve">After the completion of the construction works, the process of official approval takes place within the next six months, the construction supervisor prepares documents for the relevant buiding offices, which issue the approval decisions. The activities that will ve carried out in 2025 will be covered by resources of the Railways of the Slovak Republic.</w:t>
              <w:br/>
              <w:t xml:space="preserve"/>
              <w:br/>
              <w:t xml:space="preserve">M14: Relocation of unpaved field road (premiestnenie nespevnenej poľnej cesty) (11/09/2024, in GA 15/06/2023) </w:t>
              <w:br/>
              <w:t xml:space="preserve">The relocation of the unpaved field road started on 17th, October 2013 and it will be implemented in 2024. Excavations and gravel embankments were made. Work was suspended in the winter months du to climatic reasons. </w:t>
              <w:br/>
              <w:t xml:space="preserve">Construction layers of gravel will be built and the sealing paint will be used. Adjacent slopes will be improved by adding humus, and hydro-seeding and drainage will be applied.</w:t>
              <w:br/>
              <w:t xml:space="preserve"/>
              <w:br/>
              <w:t xml:space="preserve">M15: Retaining wall, in the vicinity of track no. 1 (railway km 281.605 – 282.080) (zárubný múr v blízkosti koľaje č. 1 (železničný km 281,605 – 282,080)) (11/09/2024, in GA 15/09/2023)</w:t>
              <w:br/>
              <w:t xml:space="preserve"/>
              <w:br/>
              <w:t xml:space="preserve">The construction object is in the stage of implementation. The cornices and associated earthworks are currently being implemented. Preparatory work began on 18th March, 2023. Large-diameter piles have been implemented so far (80 percent of the piles have been drilled so far). The cornice is being worked on (approx. 95% completed). Excavations to the first armature level are in progress, armature thresholds, sprayed concrete and the implementation of armature are being prepared.</w:t>
              <w:br/>
              <w:t xml:space="preserve">The retaining wall will be completed during the possesion of track No. 1 in September 2024 – ground anchors will be installed gradually according to the anchoring levels and subhorizontal drainage drills will be established simultaneously. Subsequently, stone facing and banister will be made. The wall will be finished with the construction of an upper drainage channel that will drain surface water.</w:t>
              <w:br/>
              <w:t xml:space="preserve"/>
              <w:br/>
              <w:t xml:space="preserve">The construction works during 2024 includes:</w:t>
              <w:br/>
              <w:t xml:space="preserve">In 2024, work will be carried out on the operational sets (railway protection, radio, information, transmission and reporting equipment). The original railway superstructure will be dismantled and the construction of the railway substructure including its facilities (culverts, ditches) will begin. After building the railway substructure, the contractor will continue with the railway superstructure and the establishment of platforms. The construction of the longest new steel bridge and the reconstruction of other railway bridges located in the original route of the railway line will continue. It will begin with the implementation of the foundations of the anti-noise walls, the retaining wall, and the new footbridge. The works in 2024 will also include other objects of the railway infrastructure – traction lines and low-voltage distribution systems. In the first half of the year, the work on the engineering networks will be completed. Public roads and sidewalks will also be built.</w:t>
              <w:br/>
              <w:t xml:space="preserve"/>
              <w:br/>
              <w:t xml:space="preserve">M16: Completion of construction work (Ukončenie stavebných prác) (11/09/2024, in GA11/09/2024)</w:t>
              <w:br/>
              <w:t xml:space="preserve">The term of completion of construction works is related to the date of handover of the construction site and the start of construction works.</w:t>
              <w:br/>
              <w:t xml:space="preserve"/>
              <w:br/>
              <w:t xml:space="preserve">b) Deviations in comparison to the latest grant agreement in force (latest ASR)</w:t>
              <w:br/>
              <w:t xml:space="preserve"/>
              <w:br/>
              <w:t xml:space="preserve">Deviation was caused by the shift of M5 by 5 months, as the contract for construction works was signed in March 2022 and also by the fact, that Construction Supervision must be kept 6 months after the construction works are submitted.</w:t>
              <w:br/>
              <w:t xml:space="preserve"/>
              <w:br/>
              <w:t xml:space="preserve">The shift of M13 from the planned launch of construction works was caused by the following factors:</w:t>
              <w:br/>
              <w:t xml:space="preserve"/>
              <w:br/>
              <w:t xml:space="preserve">1)</w:t>
              <w:tab/>
              <w:t xml:space="preserve">Time shift of the lockout activities due to the requirements of private railway carriers. The private carriers of passenger trains from the Czech Republic did not allow track lockouts to be carried out so that the construction contractor could fully implement the work continuously (without interruption of work for the duration of the trains passing in the vicinity of workplace).Negotiations were underway with representatives of private carriers in order to agree on the length of the lockouts for the passing of express passenger trains.</w:t>
              <w:br/>
              <w:t xml:space="preserve">2)</w:t>
              <w:tab/>
              <w:t xml:space="preserve">Time shift of felling due to the need to carry out a new expert judgement. Due to the time difference from the date of processing of the project documentation, there was a significant increase in the number of trees and woody plants, which had to be re-categorized, the amount of felling determined and consent requested for additional felling that was not foreseen by the project. The expert judgement related to the dendrological survey and the calculation of the social value of the trees. </w:t>
              <w:br/>
              <w:t xml:space="preserve">3)</w:t>
              <w:tab/>
              <w:t xml:space="preserve">ŽSR was waiting for the permission of the Ministry of Transport of the Slovak Republic to allow the construction of a temporary crossing, which must be built for the additional engineering-geological survey and the construction of the retaining wall SO 08-33-14. Permission has been granted.</w:t>
              <w:br/>
              <w:t xml:space="preserve">4)</w:t>
              <w:tab/>
              <w:t xml:space="preserve">An additional engineering-geological survey was carried out (in terms of the project documentation) regarding the artificial objects of the construction, which technical solution will be modified.</w:t>
              <w:br/>
              <w:t xml:space="preserve">5)</w:t>
              <w:tab/>
              <w:t xml:space="preserve">It was necessary to remove the illegal landfills that were discovered at the construction site of the SO 08-33-06 bridge facility. </w:t>
              <w:br/>
              <w:t xml:space="preserve">6)</w:t>
              <w:tab/>
              <w:t xml:space="preserve">The implementation of access to track No. 1 and to the Kulovci outpost through the Czech Republic due to the impassability of the underpass is underway. The existing underpass is not suitable for passing of all types and categories of wheeled working machines and mechanisms. It is necessary to solve an alternative form of access in accordance with the legislation of the Slovak Republic which also means additional time requirements.</w:t>
              <w:br/>
              <w:t xml:space="preserve"/>
              <w:br/>
              <w:t xml:space="preserve">The later signing of the Contract for the construction works with the cotractor (March 28, 2022) subsequently had an impact on the shift of the planned date for the completion of the project (December 31, 2024).</w:t>
              <w:br/>
              <w:t xml:space="preserve">In the monitored period of 2022, there was a minimal drawing of funds from CEF resources for the reason that the planned drawing for the mentioned period assumed the signing of a contract for the start of construction works in October 2021 and subsequent launch of construction works.</w:t>
              <w:br/>
              <w:t xml:space="preserve"/>
              <w:br/>
              <w:t xml:space="preserve">The construction works carried out on the project during the year 2023 are mentioned in section 2.1 (Overview of progress since the start of the action).</w:t>
              <w:br/>
              <w:t xml:space="preserve"/>
              <w:br/>
              <w:t xml:space="preserve">c) Expected/foreseen risk(s)</w:t>
              <w:br/>
              <w:t xml:space="preserve"/>
              <w:br/>
              <w:t xml:space="preserve">The construction is located in a geologically complex zone. For this reason, problems may occur during construction of retaining walls and bridges laying. These problems cannot be predicted in advance.</w:t>
              <w:br/>
              <w:t xml:space="preserve"/>
              <w:br/>
              <w:t xml:space="preserve">The possibility of water loss in local water sources (wells) due to massive intervention into the country.</w:t>
              <w:br/>
              <w:t xml:space="preserve"/>
              <w:br/>
              <w:t xml:space="preserve">Adverse climatic conditions, unsuitable geological and hydrogeological conditions with an impact on the approved project documentation, which will require updating the project documentation to the current status.</w:t>
              <w:br/>
              <w:t xml:space="preserve"/>
            </w:r>
          </w:p>
        </w:tc>
      </w:tr>
    </w:tbl>
    <w:p w:rsidR="00C12C1A" w:rsidRDefault="00C12C1A"/>
    <w:p w:rsidR="00315323" w:rsidRDefault="00315323">
      <w:pPr>
        <w:spacing w:after="0" w:line="240" w:lineRule="auto"/>
      </w:pPr>
      <w:r>
        <w:br w:type="page"/>
      </w:r>
    </w:p>
    <w:p w:rsidR="0040170C" w:rsidRDefault="0040170C"/>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shd w:color="auto" w:fill="FFFFFF" w:val="clear"/>
        <w:tblLayout w:type="fixed"/>
        <w:tblLook w:firstColumn="0" w:firstRow="0" w:lastColumn="0" w:lastRow="0" w:noHBand="0" w:noVBand="0" w:val="0000"/>
      </w:tblPr>
      <w:tblGrid>
        <w:gridCol w:w="9242"/>
      </w:tblGrid>
      <w:tr w:rsidR="00315323" w:rsidRPr="00187B31" w:rsidTr="0018280C">
        <w:trPr>
          <w:trHeight w:val="412"/>
          <w:jc w:val="center"/>
        </w:trPr>
        <w:tc>
          <w:tcPr>
            <w:tcW w:type="dxa" w:w="9594"/>
            <w:shd w:color="auto" w:fill="99CCFF" w:val="clear"/>
            <w:tcMar>
              <w:top w:type="dxa" w:w="113"/>
              <w:bottom w:type="dxa" w:w="113"/>
            </w:tcMar>
          </w:tcPr>
          <w:p w:rsidP="0018280C" w:rsidR="00315323" w:rsidRDefault="00315323" w:rsidRPr="00FA3FBF">
            <w:pPr>
              <w:snapToGrid w:val="0"/>
              <w:spacing w:after="120" w:before="120"/>
              <w:ind w:left="113" w:right="-19"/>
              <w:rPr>
                <w:rFonts w:ascii="Verdana" w:hAnsi="Verdana"/>
                <w:b/>
                <w:spacing w:val="-10"/>
                <w:sz w:val="32"/>
                <w:szCs w:val="32"/>
              </w:rPr>
            </w:pPr>
            <w:r w:rsidRPr="00FA3FBF">
              <w:rPr>
                <w:rFonts w:ascii="Verdana" w:hAnsi="Verdana"/>
                <w:b/>
                <w:spacing w:val="-10"/>
                <w:sz w:val="32"/>
                <w:szCs w:val="32"/>
              </w:rPr>
              <w:t xml:space="preserve">3. </w:t>
            </w:r>
            <w:r w:rsidRPr="00187B31">
              <w:rPr>
                <w:rFonts w:ascii="Verdana" w:hAnsi="Verdana"/>
                <w:b/>
                <w:spacing w:val="-10"/>
                <w:sz w:val="18"/>
              </w:rPr>
              <w:t xml:space="preserve"> </w:t>
            </w:r>
            <w:r w:rsidRPr="00187B31">
              <w:rPr>
                <w:rFonts w:ascii="Verdana" w:hAnsi="Verdana"/>
                <w:b/>
                <w:spacing w:val="-10"/>
                <w:sz w:val="32"/>
                <w:szCs w:val="32"/>
              </w:rPr>
              <w:t>VISIBILITY OF UNION FUNDING</w:t>
            </w:r>
            <w:r>
              <w:rPr>
                <w:rFonts w:ascii="Verdana" w:hAnsi="Verdana"/>
                <w:b/>
                <w:spacing w:val="-10"/>
                <w:sz w:val="32"/>
                <w:szCs w:val="32"/>
              </w:rPr>
              <w:t xml:space="preserve"> </w:t>
            </w:r>
            <w:r w:rsidRPr="006A511D">
              <w:rPr>
                <w:rFonts w:ascii="Verdana" w:hAnsi="Verdana"/>
                <w:b/>
                <w:spacing w:val="-10"/>
                <w:sz w:val="24"/>
                <w:szCs w:val="32"/>
              </w:rPr>
              <w:t>(GA II.23.1.1.i</w:t>
            </w:r>
            <w:r>
              <w:rPr>
                <w:rFonts w:ascii="Verdana" w:hAnsi="Verdana"/>
                <w:b/>
                <w:spacing w:val="-10"/>
                <w:sz w:val="24"/>
                <w:szCs w:val="32"/>
              </w:rPr>
              <w:t xml:space="preserve">   or SESAR FPA II.23.1b.i</w:t>
            </w:r>
            <w:r w:rsidRPr="006A511D">
              <w:rPr>
                <w:rFonts w:ascii="Verdana" w:hAnsi="Verdana"/>
                <w:b/>
                <w:spacing w:val="-10"/>
                <w:sz w:val="24"/>
                <w:szCs w:val="32"/>
              </w:rPr>
              <w:t>)</w:t>
            </w:r>
          </w:p>
        </w:tc>
      </w:tr>
    </w:tbl>
    <w:p w:rsidR="00315323" w:rsidRDefault="00315323"/>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315323" w:rsidRPr="00187B31" w:rsidTr="00BF4E76">
        <w:trPr>
          <w:trHeight w:val="264"/>
          <w:jc w:val="center"/>
        </w:trPr>
        <w:tc>
          <w:tcPr>
            <w:tcW w:type="dxa" w:w="9594"/>
            <w:shd w:color="auto" w:fill="99CCFF" w:val="clear"/>
            <w:tcMar>
              <w:top w:type="dxa" w:w="85"/>
              <w:bottom w:type="dxa" w:w="85"/>
            </w:tcMar>
          </w:tcPr>
          <w:p w:rsidP="0018280C" w:rsidR="00315323" w:rsidRDefault="00315323" w:rsidRPr="00187B31">
            <w:pPr>
              <w:keepNext/>
              <w:spacing w:after="120" w:before="120"/>
              <w:ind w:left="113"/>
              <w:rPr>
                <w:rFonts w:ascii="Verdana" w:hAnsi="Verdana"/>
                <w:b/>
                <w:spacing w:val="-10"/>
              </w:rPr>
            </w:pPr>
            <w:r w:rsidRPr="00187B31">
              <w:rPr>
                <w:rFonts w:ascii="Verdana" w:hAnsi="Verdana"/>
                <w:b/>
                <w:spacing w:val="-10"/>
              </w:rPr>
              <w:t xml:space="preserve">What measures have been taken </w:t>
            </w:r>
            <w:r>
              <w:rPr>
                <w:rFonts w:ascii="Verdana" w:hAnsi="Verdana"/>
                <w:b/>
                <w:spacing w:val="-10"/>
              </w:rPr>
              <w:t>within the</w:t>
            </w:r>
            <w:r w:rsidR="002E2FFD">
              <w:rPr>
                <w:rFonts w:ascii="Verdana" w:hAnsi="Verdana"/>
                <w:b/>
                <w:spacing w:val="-10"/>
              </w:rPr>
              <w:t xml:space="preserve"> previous</w:t>
            </w:r>
            <w:r>
              <w:rPr>
                <w:rFonts w:ascii="Verdana" w:hAnsi="Verdana"/>
                <w:b/>
                <w:spacing w:val="-10"/>
              </w:rPr>
              <w:t xml:space="preserve"> reporting period </w:t>
            </w:r>
            <w:r w:rsidR="00462537">
              <w:rPr>
                <w:rFonts w:ascii="Verdana" w:hAnsi="Verdana"/>
                <w:b/>
                <w:spacing w:val="-10"/>
              </w:rPr>
              <w:t>to publicis</w:t>
            </w:r>
            <w:r w:rsidRPr="00187B31">
              <w:rPr>
                <w:rFonts w:ascii="Verdana" w:hAnsi="Verdana"/>
                <w:b/>
                <w:spacing w:val="-10"/>
              </w:rPr>
              <w:t>e the Action,</w:t>
            </w:r>
            <w:r>
              <w:rPr>
                <w:rFonts w:ascii="Verdana" w:hAnsi="Verdana"/>
                <w:b/>
                <w:spacing w:val="-10"/>
              </w:rPr>
              <w:t xml:space="preserve"> including EU</w:t>
            </w:r>
            <w:r w:rsidRPr="00187B31">
              <w:rPr>
                <w:rFonts w:ascii="Verdana" w:hAnsi="Verdana"/>
                <w:b/>
                <w:spacing w:val="-10"/>
              </w:rPr>
              <w:t xml:space="preserve"> funding (GA II.7.1)?</w:t>
            </w:r>
          </w:p>
        </w:tc>
      </w:tr>
      <w:tr w:rsidR="00315323" w:rsidRPr="00187B31" w:rsidTr="00BF4E76">
        <w:trPr>
          <w:trHeight w:val="1669"/>
          <w:jc w:val="center"/>
        </w:trPr>
        <w:tc>
          <w:tcPr>
            <w:tcW w:type="dxa" w:w="9594"/>
            <w:tcMar>
              <w:top w:type="dxa" w:w="85"/>
              <w:bottom w:type="dxa" w:w="85"/>
            </w:tcMar>
          </w:tcPr>
          <w:p w:rsidP="0061142E" w:rsidR="00315323" w:rsidRDefault="00136AD4" w:rsidRPr="00187B31">
            <w:pPr>
              <w:spacing w:after="120" w:before="120"/>
              <w:ind w:left="113"/>
              <w:rPr>
                <w:rFonts w:ascii="Verdana" w:hAnsi="Verdana"/>
                <w:spacing w:val="-10"/>
              </w:rPr>
            </w:pPr>
            <w:r>
              <w:rPr>
                <w:rFonts w:ascii="Verdana" w:hAnsi="Verdana"/>
                <w:noProof/>
                <w:spacing w:val="-10"/>
              </w:rPr>
              <w:t>Information on this project is published on the official website of ŽSR in the section: Verejnosť a médiá / Modernizácia tratí / Projekty spolufinancované EÚ / Stavby v realizácii / Modernizácia železničného úseku Čadca - Svrčinovec zastávka (vrátane), hyperlink: https://www.zsr.sk/5171, ensuring a fair and high visibility of EU co-financing.</w:t>
              <w:br/>
              <w:t xml:space="preserve">•</w:t>
              <w:tab/>
              <w:t xml:space="preserve">Information about the project is updated four times a year (31 March, 30 June, 30 September and 31 December) -see Annex 5.1 - Publicity ŽSR Čadca – Svrčinovec</w:t>
              <w:br/>
              <w:t xml:space="preserve"/>
            </w:r>
          </w:p>
        </w:tc>
      </w:tr>
    </w:tbl>
    <w:p w:rsidR="00315323" w:rsidRDefault="00315323"/>
    <w:p w:rsidR="00315323" w:rsidRDefault="00315323"/>
    <w:tbl>
      <w:tblPr>
        <w:tblpPr w:horzAnchor="margin" w:leftFromText="180" w:rightFromText="180" w:tblpXSpec="center" w:tblpY="123" w:vertAnchor="text"/>
        <w:tblW w:type="pct" w:w="5000"/>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shd w:color="auto" w:fill="FFFFFF" w:val="clear"/>
        <w:tblLayout w:type="fixed"/>
        <w:tblLook w:firstColumn="0" w:firstRow="0" w:lastColumn="0" w:lastRow="0" w:noHBand="0" w:noVBand="0" w:val="0000"/>
      </w:tblPr>
      <w:tblGrid>
        <w:gridCol w:w="9242"/>
      </w:tblGrid>
      <w:tr w:rsidR="00315323" w:rsidRPr="00187B31" w:rsidTr="00112088">
        <w:trPr>
          <w:trHeight w:val="412"/>
        </w:trPr>
        <w:tc>
          <w:tcPr>
            <w:tcW w:type="dxa" w:w="9594"/>
            <w:shd w:color="auto" w:fill="99CCFF" w:val="clear"/>
            <w:tcMar>
              <w:top w:type="dxa" w:w="113"/>
              <w:bottom w:type="dxa" w:w="113"/>
            </w:tcMar>
          </w:tcPr>
          <w:p w:rsidP="00887EE8" w:rsidR="00315323" w:rsidRDefault="00315323" w:rsidRPr="00E14AB2">
            <w:pPr>
              <w:snapToGrid w:val="0"/>
              <w:spacing w:after="120" w:before="120"/>
              <w:ind w:left="113" w:right="-19"/>
              <w:rPr>
                <w:rFonts w:ascii="Verdana" w:hAnsi="Verdana"/>
                <w:b/>
                <w:spacing w:val="-10"/>
                <w:sz w:val="32"/>
                <w:szCs w:val="32"/>
              </w:rPr>
            </w:pPr>
            <w:r w:rsidRPr="00E14AB2">
              <w:rPr>
                <w:rFonts w:ascii="Verdana" w:hAnsi="Verdana"/>
                <w:b/>
                <w:spacing w:val="-10"/>
                <w:sz w:val="32"/>
                <w:szCs w:val="32"/>
              </w:rPr>
              <w:t xml:space="preserve">4. </w:t>
            </w:r>
            <w:r w:rsidRPr="00187B31">
              <w:rPr>
                <w:rFonts w:ascii="Verdana" w:hAnsi="Verdana"/>
                <w:b/>
                <w:spacing w:val="-10"/>
                <w:sz w:val="18"/>
              </w:rPr>
              <w:t xml:space="preserve"> </w:t>
            </w:r>
            <w:r>
              <w:rPr>
                <w:rFonts w:ascii="Verdana" w:hAnsi="Verdana"/>
                <w:b/>
                <w:spacing w:val="-10"/>
                <w:sz w:val="32"/>
                <w:szCs w:val="32"/>
              </w:rPr>
              <w:t xml:space="preserve">OTHER SOURCES OF EUROPEAN UNION FUNDS </w:t>
            </w:r>
            <w:r w:rsidRPr="006A511D">
              <w:rPr>
                <w:rFonts w:ascii="Verdana" w:hAnsi="Verdana"/>
                <w:b/>
                <w:spacing w:val="-10"/>
                <w:sz w:val="24"/>
                <w:szCs w:val="32"/>
              </w:rPr>
              <w:t xml:space="preserve">(CEF-E </w:t>
            </w:r>
            <w:r w:rsidR="00500527">
              <w:rPr>
                <w:rFonts w:ascii="Verdana" w:hAnsi="Verdana"/>
                <w:b/>
                <w:spacing w:val="-10"/>
                <w:sz w:val="24"/>
                <w:szCs w:val="32"/>
              </w:rPr>
              <w:t xml:space="preserve">and Synergy </w:t>
            </w:r>
            <w:r w:rsidRPr="006A511D">
              <w:rPr>
                <w:rFonts w:ascii="Verdana" w:hAnsi="Verdana"/>
                <w:b/>
                <w:spacing w:val="-10"/>
                <w:sz w:val="24"/>
                <w:szCs w:val="32"/>
              </w:rPr>
              <w:t>only, GA II.23.1.1.m</w:t>
            </w:r>
            <w:r>
              <w:rPr>
                <w:rFonts w:ascii="Verdana" w:hAnsi="Verdana"/>
                <w:b/>
                <w:spacing w:val="-10"/>
                <w:sz w:val="24"/>
                <w:szCs w:val="32"/>
              </w:rPr>
              <w:t xml:space="preserve"> </w:t>
            </w:r>
            <w:r w:rsidRPr="006A511D">
              <w:rPr>
                <w:rFonts w:ascii="Verdana" w:hAnsi="Verdana"/>
                <w:b/>
                <w:spacing w:val="-10"/>
                <w:sz w:val="24"/>
                <w:szCs w:val="32"/>
              </w:rPr>
              <w:t>)</w:t>
            </w:r>
          </w:p>
        </w:tc>
      </w:tr>
    </w:tbl>
    <w:p w:rsidR="00315323" w:rsidRDefault="00315323"/>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315323" w:rsidRPr="00187B31" w:rsidTr="00112088">
        <w:trPr>
          <w:trHeight w:val="264"/>
          <w:jc w:val="center"/>
        </w:trPr>
        <w:tc>
          <w:tcPr>
            <w:tcW w:type="dxa" w:w="9594"/>
            <w:shd w:color="auto" w:fill="99CCFF" w:val="clear"/>
            <w:tcMar>
              <w:top w:type="dxa" w:w="85"/>
              <w:bottom w:type="dxa" w:w="85"/>
            </w:tcMar>
          </w:tcPr>
          <w:p w:rsidP="0018280C" w:rsidR="00315323" w:rsidRDefault="00315323" w:rsidRPr="00187B31">
            <w:pPr>
              <w:keepNext/>
              <w:spacing w:after="120" w:before="120"/>
              <w:ind w:left="113"/>
              <w:rPr>
                <w:rFonts w:ascii="Verdana" w:hAnsi="Verdana"/>
                <w:b/>
                <w:spacing w:val="-10"/>
              </w:rPr>
            </w:pPr>
            <w:r>
              <w:rPr>
                <w:rFonts w:ascii="Verdana" w:hAnsi="Verdana"/>
                <w:b/>
                <w:spacing w:val="-10"/>
              </w:rPr>
              <w:t>If applicable, provide information about other sources of EU funds (</w:t>
            </w:r>
            <w:r w:rsidRPr="00970224">
              <w:rPr>
                <w:rFonts w:ascii="Verdana" w:hAnsi="Verdana"/>
                <w:b/>
                <w:spacing w:val="-10"/>
              </w:rPr>
              <w:t>CEF, ERDF, Cohesion Fund, H2020, TEN, EEPR, EIPA, etc.</w:t>
            </w:r>
            <w:r>
              <w:rPr>
                <w:rFonts w:ascii="Verdana" w:hAnsi="Verdana"/>
                <w:b/>
                <w:spacing w:val="-10"/>
              </w:rPr>
              <w:t xml:space="preserve">) used for the project of common interest (e.g. previous or subsequent phases not covered by the Grant Agreement). </w:t>
            </w:r>
          </w:p>
        </w:tc>
      </w:tr>
      <w:tr w:rsidR="00315323" w:rsidRPr="00187B31" w:rsidTr="00112088">
        <w:trPr>
          <w:trHeight w:val="2180"/>
          <w:jc w:val="center"/>
        </w:trPr>
        <w:tc>
          <w:tcPr>
            <w:tcW w:type="dxa" w:w="9594"/>
            <w:tcMar>
              <w:top w:type="dxa" w:w="85"/>
              <w:bottom w:type="dxa" w:w="85"/>
            </w:tcMar>
          </w:tcPr>
          <w:p w:rsidP="0061142E" w:rsidR="00315323" w:rsidRDefault="00C80F64" w:rsidRPr="00187B31">
            <w:pPr>
              <w:spacing w:after="120" w:before="120"/>
              <w:ind w:left="113"/>
              <w:rPr>
                <w:rFonts w:ascii="Verdana" w:hAnsi="Verdana"/>
                <w:spacing w:val="-10"/>
              </w:rPr>
            </w:pPr>
            <w:r>
              <w:rPr>
                <w:rFonts w:ascii="Verdana" w:hAnsi="Verdana"/>
                <w:noProof/>
                <w:spacing w:val="-10"/>
              </w:rPr>
              <w:t>Not applicable</w:t>
            </w:r>
          </w:p>
        </w:tc>
      </w:tr>
    </w:tbl>
    <w:p w:rsidR="00315323" w:rsidRDefault="00315323"/>
    <w:p w:rsidR="000B112E" w:rsidRDefault="000B112E">
      <w:pPr>
        <w:spacing w:after="0" w:line="240" w:lineRule="auto"/>
      </w:pPr>
      <w:r>
        <w:br w:type="page"/>
      </w:r>
    </w:p>
    <w:p w:rsidR="000B112E" w:rsidRDefault="000B112E"/>
    <w:tbl>
      <w:tblPr>
        <w:tblpPr w:horzAnchor="margin" w:leftFromText="180" w:rightFromText="180" w:tblpXSpec="center" w:tblpY="123" w:vertAnchor="text"/>
        <w:tblW w:type="pct" w:w="5000"/>
        <w:jc w:val="center"/>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0B112E" w:rsidRPr="00014C3A" w:rsidTr="0018280C">
        <w:trPr>
          <w:trHeight w:val="412"/>
          <w:jc w:val="center"/>
        </w:trPr>
        <w:tc>
          <w:tcPr>
            <w:tcW w:type="dxa" w:w="9594"/>
            <w:shd w:color="auto" w:fill="99CCFF" w:val="clear"/>
            <w:tcMar>
              <w:top w:type="dxa" w:w="113"/>
              <w:bottom w:type="dxa" w:w="113"/>
            </w:tcMar>
          </w:tcPr>
          <w:p w:rsidP="0018280C" w:rsidR="000B112E" w:rsidRDefault="000B112E" w:rsidRPr="00014C3A">
            <w:pPr>
              <w:snapToGrid w:val="0"/>
              <w:spacing w:after="120" w:before="120"/>
              <w:ind w:left="113" w:right="-19"/>
              <w:rPr>
                <w:rFonts w:ascii="Verdana" w:hAnsi="Verdana"/>
                <w:b/>
                <w:spacing w:val="-10"/>
                <w:sz w:val="32"/>
                <w:szCs w:val="32"/>
              </w:rPr>
            </w:pPr>
            <w:r>
              <w:rPr>
                <w:rFonts w:ascii="Verdana" w:hAnsi="Verdana"/>
                <w:b/>
                <w:spacing w:val="-10"/>
                <w:sz w:val="32"/>
                <w:szCs w:val="32"/>
              </w:rPr>
              <w:t>5</w:t>
            </w:r>
            <w:r w:rsidRPr="00014C3A">
              <w:rPr>
                <w:rFonts w:ascii="Verdana" w:hAnsi="Verdana"/>
                <w:b/>
                <w:spacing w:val="-10"/>
                <w:sz w:val="32"/>
                <w:szCs w:val="32"/>
              </w:rPr>
              <w:t>. COMPLIANCE WITH EU LEGISLATION</w:t>
            </w:r>
            <w:r>
              <w:rPr>
                <w:rFonts w:ascii="Verdana" w:hAnsi="Verdana"/>
                <w:b/>
                <w:spacing w:val="-10"/>
                <w:sz w:val="32"/>
                <w:szCs w:val="32"/>
              </w:rPr>
              <w:t xml:space="preserve"> </w:t>
            </w:r>
            <w:r w:rsidRPr="006A511D">
              <w:rPr>
                <w:rFonts w:ascii="Verdana" w:hAnsi="Verdana"/>
                <w:b/>
                <w:spacing w:val="-10"/>
                <w:sz w:val="24"/>
                <w:szCs w:val="32"/>
              </w:rPr>
              <w:t>(GA.II.23.1.1g and h</w:t>
            </w:r>
            <w:r>
              <w:rPr>
                <w:rFonts w:ascii="Verdana" w:hAnsi="Verdana"/>
                <w:b/>
                <w:spacing w:val="-10"/>
                <w:sz w:val="24"/>
                <w:szCs w:val="32"/>
              </w:rPr>
              <w:t>,  or SESAR FPA II.23.1b.g and h</w:t>
            </w:r>
            <w:r w:rsidRPr="006A511D">
              <w:rPr>
                <w:rFonts w:ascii="Verdana" w:hAnsi="Verdana"/>
                <w:b/>
                <w:spacing w:val="-10"/>
                <w:sz w:val="24"/>
                <w:szCs w:val="32"/>
              </w:rPr>
              <w:t>)</w:t>
            </w:r>
          </w:p>
        </w:tc>
      </w:tr>
    </w:tbl>
    <w:p w:rsidR="000B112E" w:rsidRDefault="000B112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B112E" w:rsidRPr="00014C3A" w:rsidTr="0018280C">
        <w:trPr>
          <w:trHeight w:val="264"/>
          <w:jc w:val="center"/>
        </w:trPr>
        <w:tc>
          <w:tcPr>
            <w:tcW w:type="dxa" w:w="9594"/>
            <w:shd w:color="auto" w:fill="99CCFF" w:val="clear"/>
            <w:tcMar>
              <w:top w:type="dxa" w:w="85"/>
              <w:bottom w:type="dxa" w:w="85"/>
            </w:tcMar>
          </w:tcPr>
          <w:p w:rsidP="0018280C" w:rsidR="000B112E" w:rsidRDefault="00462537" w:rsidRPr="00014C3A">
            <w:pPr>
              <w:keepNext/>
              <w:spacing w:after="120" w:before="120"/>
              <w:ind w:left="113"/>
              <w:rPr>
                <w:rFonts w:ascii="Verdana" w:hAnsi="Verdana"/>
                <w:b/>
                <w:spacing w:val="-10"/>
              </w:rPr>
            </w:pPr>
            <w:r w:rsidRPr="00191404">
              <w:rPr>
                <w:rFonts w:ascii="Verdana" w:hAnsi="Verdana"/>
                <w:b/>
                <w:spacing w:val="-10"/>
              </w:rPr>
              <w:t xml:space="preserve">5.1. </w:t>
            </w:r>
            <w:r>
              <w:rPr>
                <w:rFonts w:ascii="Verdana" w:hAnsi="Verdana"/>
                <w:b/>
                <w:spacing w:val="-10"/>
              </w:rPr>
              <w:t>O</w:t>
            </w:r>
            <w:r w:rsidRPr="00191404">
              <w:rPr>
                <w:rFonts w:ascii="Verdana" w:hAnsi="Verdana"/>
                <w:b/>
                <w:spacing w:val="-10"/>
              </w:rPr>
              <w:t>verview of environmental aspects, compliance with EU and national legislation, issues during the implementation of the Action and measures taken.</w:t>
            </w:r>
          </w:p>
        </w:tc>
      </w:tr>
      <w:tr w:rsidR="000B112E" w:rsidRPr="00014C3A" w:rsidTr="0018280C">
        <w:trPr>
          <w:trHeight w:val="1646"/>
          <w:jc w:val="center"/>
        </w:trPr>
        <w:tc>
          <w:tcPr>
            <w:tcW w:type="dxa" w:w="9594"/>
            <w:tcMar>
              <w:top w:type="dxa" w:w="85"/>
              <w:bottom w:type="dxa" w:w="85"/>
            </w:tcMar>
          </w:tcPr>
          <w:p w:rsidP="0061142E" w:rsidR="000B112E" w:rsidRDefault="00211767" w:rsidRPr="00014C3A">
            <w:pPr>
              <w:spacing w:after="120" w:before="120"/>
              <w:ind w:left="113"/>
              <w:rPr>
                <w:rFonts w:ascii="Verdana" w:hAnsi="Verdana"/>
                <w:spacing w:val="-10"/>
              </w:rPr>
            </w:pPr>
            <w:r>
              <w:rPr>
                <w:rFonts w:ascii="Verdana" w:hAnsi="Verdana"/>
                <w:noProof/>
                <w:spacing w:val="-10"/>
              </w:rPr>
              <w:t>The EIA process was performed for the line section "ŽSR, Modernization of the corridor, state border CR / SR - Čadca - Krásno nad Kysucou (outside), railway line" (Length of the section is approximately 16 km).</w:t>
              <w:br/>
              <w:t xml:space="preserve">The final opinion (EIA process) was issued by the Ministry of the Environment of the Slovak Republic on 8.4.2011. The final opinion specifies the conditions recommended for the preparation of the project during the preparation in the following steps: the zoning decision process and the building permit process.</w:t>
              <w:br/>
              <w:t xml:space="preserve">The evaluation process confirmed that the implementation of the proposed activity will improve the conditions for international and domestic rail transport, in particular the safety of rail transport will be increased. </w:t>
              <w:br/>
              <w:t xml:space="preserve">In terms of the impact on the population during the operation of the modernized section of the railway line, the most important is the acoustic situation in the area of interest. With the implementation of modernized railway tracks, the noise load for the population will be greatly reduced. This will be ensured by the construction of parallel noise barriers, which were designed on the basis of a noise study, and technical improvements to the construction of the railway superstructure, which reduces noise emissions with its new flexible baseless fastening of rails on reinforced concrete sleepers.</w:t>
              <w:br/>
              <w:t xml:space="preserve">In the final opinion No. 1796/2011-3.4/ml, the Ministry of the Environment of the Slovak Republic recommended the implementation of the proposed activity "ŽSR, Modernization of the corridor, state border ČR/SR - Čadca - Krásno nad Kysucou (outside), railway line" in variant No. 3, provided the conditions are met referred to in point VI.3 of the final opinion. In the further project preparation of the construction, the investor developed variant No. 3 and at the same time ensured the fulfillment of the conditions of the final opinion.</w:t>
              <w:br/>
              <w:t xml:space="preserve">The final opinion was issued under number: 1796/2011-3.4/ml. Link to documentation from the EIA process: https://www.enviroportal.sk/sk/eia/detail/zsr-modernizacia-koridoru-statna-hranica-cr-sr-cadca-krasno-nad-kysucou</w:t>
              <w:br/>
              <w:t xml:space="preserve">Natura 2000 - the final opinion:</w:t>
              <w:br/>
              <w:t xml:space="preserve">The proposed activity is situated in the area with the first degree of protection in accordance with Act no. 543/2002 Coll. on nature and landscape protection as amended. The area of interest does not encroach on the areas that are included in the national list of proposed protected bird areas, approved by the Government of the Slovak Republic by Resolution no. 636 of 9 July 2003. In the assessed area there is an area of European importance supplemented in II.stage of territory of European importance: ÚEV Kysuca. The current line of the railway line forms the north-western border of ÚEV Kysuca from Krásno nad Kysucou to the Oščadnica stop on a section about 3 km long, but the proposed area does not directly affect it.</w:t>
              <w:br/>
              <w:t xml:space="preserve"/>
              <w:br/>
              <w:t xml:space="preserve">Water framework directive</w:t>
              <w:br/>
              <w:t xml:space="preserve">Based on an expert evaluation of the possible impact of the project „ŽSR, Modernizácia koridoru, štátna hranica ČR/SR – Čadca – Krásno nad Kysucou (mimo), železničná trať, 3.etapa“ we came to a conclusion that the expected identified changes in the physical (hydromorphological) characteristics of the affected surface water bodies will not be significant to such an extent that it will not be possible to achieve enviromental objectives or prevent deterioration of the affected surface water bodies.</w:t>
              <w:br/>
              <w:t xml:space="preserve">See Annex 4.1, Annex 4.2 and Annex 4.3.</w:t>
              <w:br/>
              <w:t xml:space="preserve"/>
              <w:br/>
              <w:t xml:space="preserve"/>
              <w:br/>
              <w:t xml:space="preserve"/>
            </w:r>
          </w:p>
        </w:tc>
      </w:tr>
    </w:tbl>
    <w:p w:rsidR="000B112E" w:rsidRDefault="000B112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B112E" w:rsidRPr="00014C3A" w:rsidTr="0018280C">
        <w:trPr>
          <w:trHeight w:val="264"/>
          <w:jc w:val="center"/>
        </w:trPr>
        <w:tc>
          <w:tcPr>
            <w:tcW w:type="dxa" w:w="9594"/>
            <w:shd w:color="auto" w:fill="99CCFF" w:val="clear"/>
            <w:tcMar>
              <w:top w:type="dxa" w:w="85"/>
              <w:bottom w:type="dxa" w:w="85"/>
            </w:tcMar>
          </w:tcPr>
          <w:p w:rsidP="00462537" w:rsidR="00462537" w:rsidRDefault="00462537" w:rsidRPr="00191404">
            <w:pPr>
              <w:keepNext/>
              <w:spacing w:after="120" w:before="120"/>
              <w:ind w:left="113"/>
              <w:rPr>
                <w:rFonts w:ascii="Verdana" w:hAnsi="Verdana"/>
                <w:b/>
                <w:spacing w:val="-10"/>
              </w:rPr>
            </w:pPr>
            <w:r w:rsidRPr="00191404">
              <w:rPr>
                <w:rFonts w:ascii="Verdana" w:hAnsi="Verdana"/>
                <w:b/>
                <w:spacing w:val="-10"/>
              </w:rPr>
              <w:t>5.2. Where relevant, information on the compliance with EU legislation</w:t>
            </w:r>
            <w:r>
              <w:t xml:space="preserve"> </w:t>
            </w:r>
            <w:r w:rsidRPr="005C6642">
              <w:rPr>
                <w:rFonts w:ascii="Verdana" w:hAnsi="Verdana"/>
                <w:b/>
                <w:spacing w:val="-10"/>
              </w:rPr>
              <w:t>notably on procurement</w:t>
            </w:r>
            <w:r w:rsidRPr="00191404">
              <w:rPr>
                <w:rFonts w:ascii="Verdana" w:hAnsi="Verdana"/>
                <w:b/>
                <w:spacing w:val="-10"/>
              </w:rPr>
              <w:t xml:space="preserve">: </w:t>
            </w:r>
          </w:p>
          <w:p w:rsidP="00462537" w:rsidR="00462537" w:rsidRDefault="00462537" w:rsidRPr="00191404">
            <w:pPr>
              <w:keepNext/>
              <w:spacing w:after="120" w:before="120"/>
              <w:ind w:left="113"/>
              <w:rPr>
                <w:rFonts w:ascii="Verdana" w:hAnsi="Verdana"/>
                <w:b/>
                <w:spacing w:val="-10"/>
              </w:rPr>
            </w:pPr>
            <w:r w:rsidRPr="00191404">
              <w:rPr>
                <w:rFonts w:ascii="Verdana" w:hAnsi="Verdana"/>
                <w:b/>
                <w:spacing w:val="-10"/>
              </w:rPr>
              <w:t xml:space="preserve">- information on the contracts awarded </w:t>
            </w:r>
            <w:r w:rsidRPr="005C6642">
              <w:rPr>
                <w:rFonts w:ascii="Verdana" w:hAnsi="Verdana"/>
                <w:b/>
                <w:spacing w:val="-10"/>
              </w:rPr>
              <w:t xml:space="preserve">or planned </w:t>
            </w:r>
            <w:r w:rsidRPr="00191404">
              <w:rPr>
                <w:rFonts w:ascii="Verdana" w:hAnsi="Verdana"/>
                <w:b/>
                <w:spacing w:val="-10"/>
              </w:rPr>
              <w:t>for the implementation of the Action and on compliance with the requirements set out in GA II.9 and II.10</w:t>
            </w:r>
          </w:p>
          <w:p w:rsidP="00462537" w:rsidR="000B112E" w:rsidRDefault="00462537" w:rsidRPr="00014C3A">
            <w:pPr>
              <w:keepNext/>
              <w:spacing w:after="120" w:before="120"/>
              <w:ind w:left="113"/>
              <w:rPr>
                <w:rFonts w:ascii="Verdana" w:hAnsi="Verdana"/>
                <w:b/>
                <w:spacing w:val="-10"/>
              </w:rPr>
            </w:pPr>
            <w:r w:rsidRPr="00191404">
              <w:rPr>
                <w:rFonts w:ascii="Verdana" w:hAnsi="Verdana"/>
                <w:b/>
                <w:spacing w:val="-10"/>
              </w:rPr>
              <w:t>- regarding other matters, notably public procurement, competition, regulatory matters, (CEF-E only) the update of the CBCA decision, etc.</w:t>
            </w:r>
          </w:p>
        </w:tc>
      </w:tr>
      <w:tr w:rsidR="000B112E" w:rsidRPr="00014C3A" w:rsidTr="0018280C">
        <w:trPr>
          <w:trHeight w:val="1215"/>
          <w:jc w:val="center"/>
        </w:trPr>
        <w:tc>
          <w:tcPr>
            <w:tcW w:type="dxa" w:w="9594"/>
            <w:tcMar>
              <w:top w:type="dxa" w:w="85"/>
              <w:bottom w:type="dxa" w:w="85"/>
            </w:tcMar>
          </w:tcPr>
          <w:p w:rsidP="0061142E" w:rsidR="000B112E" w:rsidRDefault="00211767" w:rsidRPr="00014C3A">
            <w:pPr>
              <w:spacing w:after="120" w:before="120"/>
              <w:ind w:left="113"/>
              <w:rPr>
                <w:rFonts w:ascii="Verdana" w:hAnsi="Verdana"/>
                <w:spacing w:val="-10"/>
              </w:rPr>
            </w:pPr>
            <w:r>
              <w:rPr>
                <w:rFonts w:ascii="Verdana" w:hAnsi="Verdana"/>
                <w:noProof/>
                <w:spacing w:val="-10"/>
              </w:rPr>
              <w:t>Compatibility with EU legislation:</w:t>
              <w:br/>
              <w:t xml:space="preserve">The public procurement is being carried out in accordance with the Act no. 343/2015 Coll. on Public Procurement and on amendments to certain laws as amended following the European Parliament and Council Directives 2014/23/EU, 2014/24/EU and 2014/25/EU.</w:t>
              <w:br/>
              <w:t xml:space="preserve">We aim to meet the conditions set out in DIRECTIVE 2016/797 OF THE EUROPEAN PARLIAMENT AND OF THE COUNCIL (EU) of 11 May 2016 on the interoperability of the rail system within the European Union and the relevant TSIs for achieving interoperability of the Union rail system in a manner compatible with Directive (EU) 2016/798, in order to achieve an optimal level of technical harmonization, to facilitate, improve and develop rail transport services within the Union as well as with third countries, and to contribute to the completion of the single European railway area and to the progressive completion of the internal market. These conditions apply to the design, construction, commissioning, modernization, renewal, operation and maintenance of parts of the system, as well as to the professional qualifications of the personnel and the health and safety conditions applicable to the personnel involved in its operation and maintenance. To meet the conditions and achieve interoperability, the following interoperability technical specifications concerning directly apply: </w:t>
              <w:br/>
              <w:t xml:space="preserve"/>
              <w:br/>
              <w:t xml:space="preserve">on the control-command and signaling subsystem (CCS TSI) within the meaning of   COMMISSION REGULATION (EU) 2016/919 of 27 May 2016</w:t>
              <w:br/>
              <w:t xml:space="preserve">on the energy subsystem (ENE TSI) within the meaning of COMMISSION REGULATION (EU) 1301/2014 with effect from 1 January 2015</w:t>
              <w:br/>
              <w:t xml:space="preserve">on the Infrastructure Subsystem (Infrastructure TSI) within the meaning of COMMISSION REGULATION (EU) No Of 18 November 2014</w:t>
              <w:br/>
              <w:t xml:space="preserve">on the Traffic Operation and Management subsystem (OPE TSI) within the meaning of COMMISSION IMPLEMENTING REGULATION (EU) 2019/773 of 16 May 2019</w:t>
              <w:br/>
              <w:t xml:space="preserve">on "Accessibility of the Union rail system for disabled persons and persons with reduced mobility" (PRM TSI) within the meaning of COMMISSION REGULATION (EU) No 182/2011 1300/2014 of 18 November 2014</w:t>
              <w:br/>
              <w:t xml:space="preserve"> on "safety in railway tunnels" (SRT TSI) within the meaning of COMMISSION  REGULATION (EU) No 1303/2014 of 18 November 2014</w:t>
              <w:br/>
              <w:t xml:space="preserve"/>
              <w:br/>
              <w:t xml:space="preserve">M4, M5 a M6 </w:t>
              <w:br/>
              <w:t xml:space="preserve">The public procurement is being carried out in accordance with the Act no. 343/2015 Coll. on Public Procurement and on amendments to certain laws as amended following the European Parliament and Council Directives 2014/23/EU, 2014/24/EU and 2014/25/EU. </w:t>
              <w:br/>
              <w:t xml:space="preserve"/>
              <w:br/>
              <w:t xml:space="preserve">M4: Signature of the authorial supervision contract (Podpis zmluvy na autorský dohľad) (08/02/2022, in GA 05/02/2021)</w:t>
              <w:br/>
              <w:t xml:space="preserve">The result of the public procurement is the conclusion of a contract.</w:t>
              <w:br/>
              <w:t xml:space="preserve">31/01/2022 - submission of a draft of contract for signature to the General Director of ŽSR</w:t>
              <w:br/>
              <w:t xml:space="preserve">08/02/2022 - signing of the contract</w:t>
              <w:br/>
              <w:t xml:space="preserve">https://www.crz.gov.sk/zmluva/6203601/</w:t>
              <w:br/>
              <w:t xml:space="preserve"/>
              <w:br/>
              <w:t xml:space="preserve">M5:  Signature of the construction works contract (Podpísanie zmluvy pre realizáciu stavebných prác) (28.03.2022, in GA 15.10.2021)</w:t>
              <w:br/>
              <w:t xml:space="preserve">The conclusion of the contract is the result of public procurement, it is an open competition.</w:t>
              <w:br/>
              <w:t xml:space="preserve">28/03/2022 – contract concluded (https://www.crz.gov.sk/zmluva/6293011/), the milestone was reached. </w:t>
              <w:br/>
              <w:t xml:space="preserve">M6:  Signature of the construction supervision contract (Podpis zmluvy pre stavebný  dozor) (30/08/2022, in GA 15/10/2021)</w:t>
              <w:br/>
              <w:t xml:space="preserve">The conclusion of the contract is the result of public procurement, it was  an open competition.</w:t>
              <w:br/>
              <w:t xml:space="preserve">30/08/2022 –conclusion of contract ( https://www.crz.gov.sk/zmluva/6822716/) </w:t>
              <w:br/>
              <w:t xml:space="preserve"/>
              <w:br/>
              <w:t xml:space="preserve"/>
            </w:r>
          </w:p>
        </w:tc>
      </w:tr>
    </w:tbl>
    <w:p w:rsidR="000B112E" w:rsidRDefault="000B112E"/>
    <w:p w:rsidP="005A7064" w:rsidR="000B112E" w:rsidRDefault="000B112E">
      <w:pPr>
        <w:spacing w:after="0" w:line="240" w:lineRule="auto"/>
      </w:pPr>
      <w:r>
        <w:br w:type="page"/>
      </w:r>
    </w:p>
    <w:tbl>
      <w:tblPr>
        <w:tblpPr w:horzAnchor="margin" w:leftFromText="180" w:rightFromText="180" w:tblpXSpec="center" w:tblpY="123" w:vertAnchor="text"/>
        <w:tblW w:type="pct" w:w="5000"/>
        <w:jc w:val="center"/>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F27E39" w:rsidRPr="00014C3A" w:rsidTr="0018280C">
        <w:trPr>
          <w:trHeight w:val="412"/>
          <w:jc w:val="center"/>
        </w:trPr>
        <w:tc>
          <w:tcPr>
            <w:tcW w:type="dxa" w:w="9594"/>
            <w:shd w:color="auto" w:fill="99CCFF" w:val="clear"/>
            <w:tcMar>
              <w:top w:type="dxa" w:w="113"/>
              <w:bottom w:type="dxa" w:w="113"/>
            </w:tcMar>
          </w:tcPr>
          <w:p w:rsidP="0018280C" w:rsidR="00F27E39" w:rsidRDefault="00F27E39" w:rsidRPr="00014C3A">
            <w:pPr>
              <w:snapToGrid w:val="0"/>
              <w:spacing w:after="120" w:before="120"/>
              <w:ind w:left="113" w:right="-19"/>
              <w:rPr>
                <w:rFonts w:ascii="Verdana" w:hAnsi="Verdana"/>
                <w:b/>
                <w:spacing w:val="-10"/>
                <w:sz w:val="32"/>
                <w:szCs w:val="32"/>
              </w:rPr>
            </w:pPr>
            <w:r>
              <w:rPr>
                <w:rFonts w:ascii="Verdana" w:hAnsi="Verdana"/>
                <w:b/>
                <w:spacing w:val="-10"/>
                <w:sz w:val="32"/>
                <w:szCs w:val="32"/>
              </w:rPr>
              <w:lastRenderedPageBreak/>
              <w:t>6</w:t>
            </w:r>
            <w:r w:rsidRPr="00014C3A">
              <w:rPr>
                <w:rFonts w:ascii="Verdana" w:hAnsi="Verdana"/>
                <w:b/>
                <w:spacing w:val="-10"/>
                <w:sz w:val="32"/>
                <w:szCs w:val="32"/>
              </w:rPr>
              <w:t xml:space="preserve">. </w:t>
            </w:r>
            <w:r>
              <w:rPr>
                <w:rFonts w:ascii="Verdana" w:hAnsi="Verdana"/>
                <w:b/>
                <w:spacing w:val="-10"/>
                <w:sz w:val="32"/>
                <w:szCs w:val="32"/>
              </w:rPr>
              <w:t>IMPLEMENTATION SCHEDULE, GOVERNANCE AND MONITORING</w:t>
            </w:r>
            <w:r w:rsidRPr="006A511D">
              <w:rPr>
                <w:rFonts w:ascii="Verdana" w:hAnsi="Verdana"/>
                <w:b/>
                <w:spacing w:val="-10"/>
                <w:sz w:val="32"/>
                <w:szCs w:val="32"/>
              </w:rPr>
              <w:t xml:space="preserve">, OTHER RELEVANT ADMINISTRATIVE PROVISIONS </w:t>
            </w:r>
            <w:r w:rsidRPr="006A511D">
              <w:rPr>
                <w:rFonts w:ascii="Verdana" w:hAnsi="Verdana"/>
                <w:b/>
                <w:spacing w:val="-10"/>
                <w:sz w:val="24"/>
                <w:szCs w:val="32"/>
              </w:rPr>
              <w:t>(GA II.23.1.1.k and l</w:t>
            </w:r>
            <w:r>
              <w:rPr>
                <w:rFonts w:ascii="Verdana" w:hAnsi="Verdana"/>
                <w:b/>
                <w:spacing w:val="-10"/>
                <w:sz w:val="24"/>
                <w:szCs w:val="32"/>
              </w:rPr>
              <w:t>,  or SESAR FPA II.23.1b.k and l</w:t>
            </w:r>
            <w:r w:rsidRPr="006A511D">
              <w:rPr>
                <w:rFonts w:ascii="Verdana" w:hAnsi="Verdana"/>
                <w:b/>
                <w:spacing w:val="-10"/>
                <w:sz w:val="24"/>
                <w:szCs w:val="32"/>
              </w:rPr>
              <w:t>)</w:t>
            </w:r>
          </w:p>
        </w:tc>
      </w:tr>
    </w:tbl>
    <w:p w:rsidR="00F27E39" w:rsidRDefault="00F27E39"/>
    <w:tbl>
      <w:tblPr>
        <w:tblW w:type="pct" w:w="4992"/>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27"/>
      </w:tblGrid>
      <w:tr w:rsidR="001E0C6D" w:rsidRPr="00014C3A" w:rsidTr="00CA70A8">
        <w:trPr>
          <w:trHeight w:val="264"/>
          <w:jc w:val="center"/>
        </w:trPr>
        <w:tc>
          <w:tcPr>
            <w:tcW w:type="dxa" w:w="9227"/>
            <w:shd w:color="auto" w:fill="99CCFF" w:val="clear"/>
            <w:tcMar>
              <w:top w:type="dxa" w:w="85"/>
              <w:bottom w:type="dxa" w:w="85"/>
            </w:tcMar>
          </w:tcPr>
          <w:p w:rsidP="0018280C" w:rsidR="001E0C6D" w:rsidRDefault="001E0C6D" w:rsidRPr="00014C3A">
            <w:pPr>
              <w:keepNext/>
              <w:spacing w:after="120" w:before="120"/>
              <w:rPr>
                <w:rFonts w:ascii="Verdana" w:hAnsi="Verdana"/>
                <w:b/>
                <w:spacing w:val="-10"/>
              </w:rPr>
            </w:pPr>
            <w:r w:rsidRPr="00FA3FBF">
              <w:rPr>
                <w:rFonts w:ascii="Verdana" w:hAnsi="Verdana"/>
                <w:b/>
                <w:spacing w:val="-10"/>
              </w:rPr>
              <w:t xml:space="preserve">6.1. </w:t>
            </w:r>
            <w:r w:rsidRPr="00FA3FBF">
              <w:rPr>
                <w:rFonts w:ascii="Verdana" w:hAnsi="Verdana"/>
                <w:b/>
                <w:spacing w:val="-10"/>
                <w:u w:val="single"/>
              </w:rPr>
              <w:t>In the first ASR</w:t>
            </w:r>
            <w:r w:rsidRPr="00FA3FBF">
              <w:rPr>
                <w:rFonts w:ascii="Verdana" w:hAnsi="Verdana"/>
                <w:b/>
                <w:spacing w:val="-10"/>
              </w:rPr>
              <w:t xml:space="preserve">, information on implementation schedule, such as critical path, key performance rates and risk analysis; </w:t>
            </w:r>
            <w:r w:rsidRPr="00FA3FBF">
              <w:rPr>
                <w:rFonts w:ascii="Verdana" w:hAnsi="Verdana"/>
                <w:b/>
                <w:spacing w:val="-10"/>
                <w:u w:val="single"/>
              </w:rPr>
              <w:t>in subsequent ASR</w:t>
            </w:r>
            <w:r w:rsidRPr="00FA3FBF">
              <w:rPr>
                <w:rFonts w:ascii="Verdana" w:hAnsi="Verdana"/>
                <w:b/>
                <w:spacing w:val="-10"/>
              </w:rPr>
              <w:t>, information on any modifications and, if applicable, on the progress of the implementation of the arrangements referred to in previous ASR. If there are changes in the Action timetable as compared to the l</w:t>
            </w:r>
            <w:r>
              <w:rPr>
                <w:rFonts w:ascii="Verdana" w:hAnsi="Verdana"/>
                <w:b/>
                <w:spacing w:val="-10"/>
              </w:rPr>
              <w:t>a</w:t>
            </w:r>
            <w:r w:rsidRPr="00FA3FBF">
              <w:rPr>
                <w:rFonts w:ascii="Verdana" w:hAnsi="Verdana"/>
                <w:b/>
                <w:spacing w:val="-10"/>
              </w:rPr>
              <w:t xml:space="preserve">test planning (Grant Agreement or </w:t>
            </w:r>
            <w:r>
              <w:rPr>
                <w:rFonts w:ascii="Verdana" w:hAnsi="Verdana"/>
                <w:b/>
                <w:spacing w:val="-10"/>
              </w:rPr>
              <w:t>previous</w:t>
            </w:r>
            <w:r w:rsidRPr="00FA3FBF">
              <w:rPr>
                <w:rFonts w:ascii="Verdana" w:hAnsi="Verdana"/>
                <w:b/>
                <w:spacing w:val="-10"/>
              </w:rPr>
              <w:t xml:space="preserve"> ASR), attach an updated Gantt chart.</w:t>
            </w:r>
          </w:p>
        </w:tc>
      </w:tr>
      <w:tr w:rsidR="001E0C6D" w:rsidRPr="00014C3A" w:rsidTr="00CA70A8">
        <w:trPr>
          <w:trHeight w:val="664"/>
          <w:jc w:val="center"/>
        </w:trPr>
        <w:tc>
          <w:tcPr>
            <w:tcW w:type="dxa" w:w="9227"/>
            <w:tcMar>
              <w:top w:type="dxa" w:w="85"/>
              <w:bottom w:type="dxa" w:w="85"/>
            </w:tcMar>
          </w:tcPr>
          <w:p w:rsidP="0061142E" w:rsidR="001E0C6D" w:rsidRDefault="00EB61FF" w:rsidRPr="00014C3A">
            <w:pPr>
              <w:spacing w:after="120" w:before="120"/>
              <w:ind w:left="113"/>
              <w:rPr>
                <w:rFonts w:ascii="Verdana" w:hAnsi="Verdana"/>
                <w:spacing w:val="-10"/>
              </w:rPr>
            </w:pPr>
            <w:r>
              <w:rPr>
                <w:rFonts w:ascii="Verdana" w:hAnsi="Verdana"/>
                <w:noProof/>
                <w:spacing w:val="-10"/>
              </w:rPr>
              <w:t>Action's planned implementation technical progress (cumulated %) is enclosed in the table in Annex 1.1.</w:t>
              <w:br/>
              <w:t xml:space="preserve">The updated Gantt Chart is presented in Annex 3.1 and activity table in Annex 2.1.</w:t>
              <w:br/>
              <w:t xml:space="preserve">The risk analysis is mentioned in point 2.4. The risk analysis is prepared for the whole section of Čadca (excluded) – State border (CZ/SK)</w:t>
              <w:br/>
              <w:t xml:space="preserve">The Action is expected to be completed by 11. 03. 2025 when the construction supervision and authorial supervision will be completed. The expected achievement dates of particular milestones have been updated and reflect the current implementation schedule of the Action.</w:t>
              <w:br/>
              <w:t xml:space="preserve"/>
            </w:r>
          </w:p>
        </w:tc>
      </w:tr>
    </w:tbl>
    <w:p w:rsidR="00CA70A8" w:rsidRDefault="00CA70A8"/>
    <w:p w:rsidR="000809A7" w:rsidRDefault="00CA70A8">
      <w:pPr>
        <w:spacing w:after="0" w:line="240" w:lineRule="auto"/>
        <w:sectPr w:rsidR="000809A7" w:rsidSect="00876A81">
          <w:pgSz w:h="16838" w:w="11906"/>
          <w:pgMar w:bottom="1440" w:footer="709" w:gutter="0" w:header="709" w:left="1440" w:right="1440" w:top="737"/>
          <w:cols w:space="708"/>
          <w:docGrid w:linePitch="360"/>
        </w:sectPr>
      </w:pPr>
      <w:r>
        <w:br w:type="page"/>
      </w:r>
    </w:p>
    <w:p w:rsidP="00150FB2" w:rsidR="00CA70A8" w:rsidRDefault="00150FB2">
      <w:pPr>
        <w:spacing w:after="0" w:line="240" w:lineRule="auto"/>
        <w:jc w:val="center"/>
        <w:rPr>
          <w:rFonts w:eastAsia="Times New Roman"/>
          <w:b/>
          <w:bCs/>
          <w:lang w:eastAsia="en-GB"/>
        </w:rPr>
      </w:pPr>
      <w:r>
        <w:rPr>
          <w:rFonts w:eastAsia="Times New Roman"/>
          <w:b/>
          <w:bCs/>
          <w:lang w:eastAsia="en-GB"/>
        </w:rPr>
        <w:lastRenderedPageBreak/>
        <w:t>Action's i</w:t>
      </w:r>
      <w:r w:rsidRPr="00777720">
        <w:rPr>
          <w:rFonts w:eastAsia="Times New Roman"/>
          <w:b/>
          <w:bCs/>
          <w:lang w:eastAsia="en-GB"/>
        </w:rPr>
        <w:t xml:space="preserve">mplementation </w:t>
      </w:r>
      <w:r w:rsidR="00FA5D13">
        <w:rPr>
          <w:rFonts w:eastAsia="Times New Roman"/>
          <w:b/>
          <w:bCs/>
          <w:lang w:eastAsia="en-GB"/>
        </w:rPr>
        <w:t xml:space="preserve">technical </w:t>
      </w:r>
      <w:r w:rsidRPr="00777720">
        <w:rPr>
          <w:rFonts w:eastAsia="Times New Roman"/>
          <w:b/>
          <w:bCs/>
          <w:lang w:eastAsia="en-GB"/>
        </w:rPr>
        <w:t>progress (cumulated %)</w:t>
      </w:r>
    </w:p>
    <w:p w:rsidP="00150FB2" w:rsidR="003D1413" w:rsidRDefault="00A078D4" w:rsidRPr="00491DF7">
      <w:pPr>
        <w:spacing w:after="0" w:line="240" w:lineRule="auto"/>
        <w:jc w:val="center"/>
      </w:pPr>
      <w:r w:rsidRPr="00491DF7">
        <w:rPr>
          <w:noProof/>
        </w:rPr>
        <w:t/>
      </w:r>
    </w:p>
    <w:tbl>
      <w:tblPr>
        <w:tblStyle w:val="TableGrid0"/>
        <w:tblW w:type="pct" w:w="5000"/>
        <w:jc w:val="center"/>
        <w:tblLook w:firstColumn="1" w:firstRow="1" w:lastColumn="0" w:lastRow="0" w:noHBand="0" w:noVBand="1" w:val="04A0"/>
      </w:tblPr>
      <w:tblGrid>
        <w:gridCol w:w="4364"/>
        <w:gridCol w:w="5836"/>
        <w:gridCol w:w="4677"/>
      </w:tblGrid>
      <w:tr w:rsidR="00507998" w:rsidRPr="00A877EE" w:rsidTr="00A078D4">
        <w:trPr>
          <w:jc w:val="center"/>
        </w:trPr>
        <w:tc>
          <w:tcPr>
            <w:tcW w:type="dxa" w:w="3657"/>
            <w:vAlign w:val="center"/>
          </w:tcPr>
          <w:p w:rsidP="00841369" w:rsidR="00507998" w:rsidRDefault="00507998" w:rsidRPr="00491DF7">
            <w:pPr>
              <w:spacing w:after="0" w:line="240" w:lineRule="auto"/>
              <w:jc w:val="center"/>
            </w:pP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2020</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2021</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2022</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2023</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2024</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2025</w:t>
            </w:r>
          </w:p>
        </w:tc>
      </w:tr>
      <w:tr w:rsidR="00D805A0" w:rsidRPr="00D714FE" w:rsidTr="00A078D4">
        <w:trPr>
          <w:jc w:val="center"/>
        </w:trPr>
        <w:tc>
          <w:tcPr>
            <w:tcW w:type="dxa" w:w="3657"/>
            <w:vAlign w:val="center"/>
          </w:tcPr>
          <w:p w:rsidP="00841369" w:rsidR="00D805A0" w:rsidRDefault="00D805A0">
            <w:pPr>
              <w:spacing w:after="0" w:line="240" w:lineRule="auto"/>
              <w:jc w:val="center"/>
            </w:pPr>
            <w:r>
              <w:t>Action level</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r>
      <w:tr w:rsidR="00D805A0" w:rsidRPr="00251DEF" w:rsidTr="00A078D4">
        <w:trPr>
          <w:jc w:val="center"/>
        </w:trPr>
        <w:tc>
          <w:tcPr>
            <w:tcW w:type="dxa" w:w="3657"/>
            <w:vAlign w:val="center"/>
          </w:tcPr>
          <w:p w:rsidP="00841369" w:rsidR="00D805A0" w:rsidRDefault="00D805A0" w:rsidRPr="00D805A0">
            <w:pPr>
              <w:spacing w:after="0" w:line="240" w:lineRule="auto"/>
              <w:jc w:val="center"/>
              <w:rPr>
                <w:lang w:val="pt-PT"/>
              </w:rPr>
            </w:pPr>
          </w:p>
        </w:tc>
        <w:tc>
          <w:tcPr>
            <w:tcW w:type="dxa" w:w="6232"/>
            <w:vAlign w:val="center"/>
          </w:tcPr>
          <w:p w:rsidP="000E6B2B" w:rsidR="00D805A0" w:rsidRDefault="00FD13F3" w:rsidRPr="006F3248">
            <w:pPr>
              <w:spacing w:after="0" w:line="240" w:lineRule="auto"/>
              <w:jc w:val="center"/>
              <w:rPr>
                <w:lang w:val="pt-PT"/>
              </w:rPr>
            </w:pPr>
            <w:r w:rsidR="000E6B2B">
              <w:rPr>
                <w:noProof/>
              </w:rPr>
              <w:t>12</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12</w:t>
            </w:r>
          </w:p>
        </w:tc>
        <w:tc>
          <w:tcPr>
            <w:tcW w:type="dxa" w:w="6232"/>
            <w:vAlign w:val="center"/>
          </w:tcPr>
          <w:p w:rsidP="000E6B2B" w:rsidR="00D805A0" w:rsidRDefault="00FD13F3" w:rsidRPr="006F3248">
            <w:pPr>
              <w:spacing w:after="0" w:line="240" w:lineRule="auto"/>
              <w:jc w:val="center"/>
              <w:rPr>
                <w:lang w:val="pt-PT"/>
              </w:rPr>
            </w:pPr>
            <w:r w:rsidR="000E6B2B">
              <w:rPr>
                <w:noProof/>
              </w:rPr>
              <w:t>30</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30</w:t>
            </w:r>
          </w:p>
        </w:tc>
        <w:tc>
          <w:tcPr>
            <w:tcW w:type="dxa" w:w="6232"/>
            <w:vAlign w:val="center"/>
          </w:tcPr>
          <w:p w:rsidP="000E6B2B" w:rsidR="00D805A0" w:rsidRDefault="00FD13F3" w:rsidRPr="006F3248">
            <w:pPr>
              <w:spacing w:after="0" w:line="240" w:lineRule="auto"/>
              <w:jc w:val="center"/>
              <w:rPr>
                <w:lang w:val="pt-PT"/>
              </w:rPr>
            </w:pPr>
            <w:r w:rsidR="000E6B2B">
              <w:rPr>
                <w:noProof/>
              </w:rPr>
              <w:t>50</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50</w:t>
            </w:r>
          </w:p>
        </w:tc>
        <w:tc>
          <w:tcPr>
            <w:tcW w:type="dxa" w:w="6232"/>
            <w:vAlign w:val="center"/>
          </w:tcPr>
          <w:p w:rsidP="000E6B2B" w:rsidR="00D805A0" w:rsidRDefault="00FD13F3" w:rsidRPr="006F3248">
            <w:pPr>
              <w:spacing w:after="0" w:line="240" w:lineRule="auto"/>
              <w:jc w:val="center"/>
              <w:rPr>
                <w:lang w:val="pt-PT"/>
              </w:rPr>
            </w:pPr>
            <w:r w:rsidR="000E6B2B">
              <w:rPr>
                <w:noProof/>
              </w:rPr>
              <w:t>78</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70</w:t>
            </w:r>
          </w:p>
        </w:tc>
        <w:tc>
          <w:tcPr>
            <w:tcW w:type="dxa" w:w="6232"/>
            <w:vAlign w:val="center"/>
          </w:tcPr>
          <w:p w:rsidP="000E6B2B" w:rsidR="00D805A0" w:rsidRDefault="00FD13F3" w:rsidRPr="006F3248">
            <w:pPr>
              <w:spacing w:after="0" w:line="240" w:lineRule="auto"/>
              <w:jc w:val="center"/>
              <w:rPr>
                <w:lang w:val="pt-PT"/>
              </w:rPr>
            </w:pPr>
            <w:r w:rsidR="000E6B2B">
              <w:rPr>
                <w:noProof/>
              </w:rPr>
              <w:t>99</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98</w:t>
            </w:r>
          </w:p>
        </w:tc>
        <w:tc>
          <w:tcPr>
            <w:tcW w:type="dxa" w:w="6232"/>
            <w:vAlign w:val="center"/>
          </w:tcPr>
          <w:p w:rsidP="000E6B2B" w:rsidR="00D805A0" w:rsidRDefault="00FD13F3" w:rsidRPr="006F3248">
            <w:pPr>
              <w:spacing w:after="0" w:line="240" w:lineRule="auto"/>
              <w:jc w:val="center"/>
              <w:rPr>
                <w:lang w:val="pt-PT"/>
              </w:rPr>
            </w:pPr>
            <w:r w:rsidR="000E6B2B">
              <w:rPr>
                <w:noProof/>
              </w:rPr>
              <w:t>100</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100</w:t>
            </w:r>
          </w:p>
        </w:tc>
      </w:tr>
      <w:tr w:rsidR="0020115A" w:rsidRPr="00D714FE" w:rsidTr="00A078D4">
        <w:trPr>
          <w:jc w:val="center"/>
        </w:trPr>
        <w:tc>
          <w:tcPr>
            <w:tcW w:type="dxa" w:w="3657"/>
            <w:vAlign w:val="center"/>
          </w:tcPr>
          <w:p w:rsidP="00841369" w:rsidR="0020115A" w:rsidRDefault="0020115A">
            <w:pPr>
              <w:spacing w:after="0" w:line="240" w:lineRule="auto"/>
              <w:jc w:val="center"/>
            </w:pPr>
            <w:r>
              <w:t>Activity</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1</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12</w:t>
            </w:r>
          </w:p>
        </w:tc>
        <w:tc>
          <w:tcPr>
            <w:tcW w:type="dxa" w:w="4988"/>
            <w:vAlign w:val="center"/>
          </w:tcPr>
          <w:p w:rsidP="005A1FD4" w:rsidR="00A659C2" w:rsidRDefault="00E32B6D" w:rsidRPr="002A6691">
            <w:pPr>
              <w:spacing w:after="0" w:line="240" w:lineRule="auto"/>
              <w:jc w:val="center"/>
            </w:pPr>
            <w:r w:rsidR="009A6BA9">
              <w:rPr>
                <w:noProof/>
              </w:rPr>
              <w:t>12</w:t>
            </w:r>
          </w:p>
        </w:tc>
        <w:tc>
          <w:tcPr>
            <w:tcW w:type="dxa" w:w="6232"/>
            <w:vAlign w:val="center"/>
          </w:tcPr>
          <w:p w:rsidP="001B0513" w:rsidR="00A659C2" w:rsidRDefault="00E035B3" w:rsidRPr="00D805A0">
            <w:pPr>
              <w:spacing w:after="0" w:line="240" w:lineRule="auto"/>
              <w:jc w:val="center"/>
            </w:pPr>
            <w:r w:rsidR="001B0513">
              <w:rPr>
                <w:noProof/>
              </w:rPr>
              <w:t>75</w:t>
            </w:r>
          </w:p>
        </w:tc>
        <w:tc>
          <w:tcPr>
            <w:tcW w:type="dxa" w:w="4988"/>
            <w:vAlign w:val="center"/>
          </w:tcPr>
          <w:p w:rsidP="005A1FD4" w:rsidR="00A659C2" w:rsidRDefault="00E32B6D" w:rsidRPr="002A6691">
            <w:pPr>
              <w:spacing w:after="0" w:line="240" w:lineRule="auto"/>
              <w:jc w:val="center"/>
            </w:pPr>
            <w:r w:rsidR="009A6BA9">
              <w:rPr>
                <w:noProof/>
              </w:rPr>
              <w:t>75</w:t>
            </w:r>
          </w:p>
        </w:tc>
        <w:tc>
          <w:tcPr>
            <w:tcW w:type="dxa" w:w="6232"/>
            <w:vAlign w:val="center"/>
          </w:tcPr>
          <w:p w:rsidP="001B0513" w:rsidR="00A659C2" w:rsidRDefault="00E035B3" w:rsidRPr="00D805A0">
            <w:pPr>
              <w:spacing w:after="0" w:line="240" w:lineRule="auto"/>
              <w:jc w:val="center"/>
            </w:pPr>
            <w:r w:rsidR="001B0513">
              <w:rPr>
                <w:noProof/>
              </w:rPr>
              <w:t>95</w:t>
            </w:r>
          </w:p>
        </w:tc>
        <w:tc>
          <w:tcPr>
            <w:tcW w:type="dxa" w:w="4988"/>
            <w:vAlign w:val="center"/>
          </w:tcPr>
          <w:p w:rsidP="005A1FD4" w:rsidR="00A659C2" w:rsidRDefault="00E32B6D" w:rsidRPr="002A6691">
            <w:pPr>
              <w:spacing w:after="0" w:line="240" w:lineRule="auto"/>
              <w:jc w:val="center"/>
            </w:pPr>
            <w:r w:rsidR="009A6BA9">
              <w:rPr>
                <w:noProof/>
              </w:rPr>
              <w:t>95</w:t>
            </w:r>
          </w:p>
        </w:tc>
        <w:tc>
          <w:tcPr>
            <w:tcW w:type="dxa" w:w="6232"/>
            <w:vAlign w:val="center"/>
          </w:tcPr>
          <w:p w:rsidP="001B0513" w:rsidR="00A659C2" w:rsidRDefault="00E035B3" w:rsidRPr="00D805A0">
            <w:pPr>
              <w:spacing w:after="0" w:line="240" w:lineRule="auto"/>
              <w:jc w:val="center"/>
            </w:pPr>
            <w:r w:rsidR="001B0513">
              <w:rPr>
                <w:noProof/>
              </w:rPr>
              <w:t>95</w:t>
            </w:r>
          </w:p>
        </w:tc>
        <w:tc>
          <w:tcPr>
            <w:tcW w:type="dxa" w:w="4988"/>
            <w:vAlign w:val="center"/>
          </w:tcPr>
          <w:p w:rsidP="005A1FD4" w:rsidR="00A659C2" w:rsidRDefault="00E32B6D" w:rsidRPr="002A6691">
            <w:pPr>
              <w:spacing w:after="0" w:line="240" w:lineRule="auto"/>
              <w:jc w:val="center"/>
            </w:pPr>
            <w:r w:rsidR="009A6BA9">
              <w:rPr>
                <w:noProof/>
              </w:rPr>
              <w:t>95</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100</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2</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50</w:t>
            </w:r>
          </w:p>
        </w:tc>
        <w:tc>
          <w:tcPr>
            <w:tcW w:type="dxa" w:w="4988"/>
            <w:vAlign w:val="center"/>
          </w:tcPr>
          <w:p w:rsidP="005A1FD4" w:rsidR="00A659C2" w:rsidRDefault="00E32B6D" w:rsidRPr="002A6691">
            <w:pPr>
              <w:spacing w:after="0" w:line="240" w:lineRule="auto"/>
              <w:jc w:val="center"/>
            </w:pPr>
            <w:r w:rsidR="009A6BA9">
              <w:rPr>
                <w:noProof/>
              </w:rPr>
              <w:t>50</w:t>
            </w:r>
          </w:p>
        </w:tc>
        <w:tc>
          <w:tcPr>
            <w:tcW w:type="dxa" w:w="6232"/>
            <w:vAlign w:val="center"/>
          </w:tcPr>
          <w:p w:rsidP="001B0513" w:rsidR="00A659C2" w:rsidRDefault="00E035B3" w:rsidRPr="00D805A0">
            <w:pPr>
              <w:spacing w:after="0" w:line="240" w:lineRule="auto"/>
              <w:jc w:val="center"/>
            </w:pPr>
            <w:r w:rsidR="001B0513">
              <w:rPr>
                <w:noProof/>
              </w:rPr>
              <w:t>80</w:t>
            </w:r>
          </w:p>
        </w:tc>
        <w:tc>
          <w:tcPr>
            <w:tcW w:type="dxa" w:w="4988"/>
            <w:vAlign w:val="center"/>
          </w:tcPr>
          <w:p w:rsidP="005A1FD4" w:rsidR="00A659C2" w:rsidRDefault="00E32B6D" w:rsidRPr="002A6691">
            <w:pPr>
              <w:spacing w:after="0" w:line="240" w:lineRule="auto"/>
              <w:jc w:val="center"/>
            </w:pPr>
            <w:r w:rsidR="009A6BA9">
              <w:rPr>
                <w:noProof/>
              </w:rPr>
              <w:t>60</w:t>
            </w:r>
          </w:p>
        </w:tc>
        <w:tc>
          <w:tcPr>
            <w:tcW w:type="dxa" w:w="6232"/>
            <w:vAlign w:val="center"/>
          </w:tcPr>
          <w:p w:rsidP="001B0513" w:rsidR="00A659C2" w:rsidRDefault="00E035B3" w:rsidRPr="00D805A0">
            <w:pPr>
              <w:spacing w:after="0" w:line="240" w:lineRule="auto"/>
              <w:jc w:val="center"/>
            </w:pPr>
            <w:r w:rsidR="001B0513">
              <w:rPr>
                <w:noProof/>
              </w:rPr>
              <w:t>98</w:t>
            </w:r>
          </w:p>
        </w:tc>
        <w:tc>
          <w:tcPr>
            <w:tcW w:type="dxa" w:w="4988"/>
            <w:vAlign w:val="center"/>
          </w:tcPr>
          <w:p w:rsidP="005A1FD4" w:rsidR="00A659C2" w:rsidRDefault="00E32B6D" w:rsidRPr="002A6691">
            <w:pPr>
              <w:spacing w:after="0" w:line="240" w:lineRule="auto"/>
              <w:jc w:val="center"/>
            </w:pPr>
            <w:r w:rsidR="009A6BA9">
              <w:rPr>
                <w:noProof/>
              </w:rPr>
              <w:t>98</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3</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15</w:t>
            </w:r>
          </w:p>
        </w:tc>
        <w:tc>
          <w:tcPr>
            <w:tcW w:type="dxa" w:w="4988"/>
            <w:vAlign w:val="center"/>
          </w:tcPr>
          <w:p w:rsidP="005A1FD4" w:rsidR="00A659C2" w:rsidRDefault="00E32B6D" w:rsidRPr="002A6691">
            <w:pPr>
              <w:spacing w:after="0" w:line="240" w:lineRule="auto"/>
              <w:jc w:val="center"/>
            </w:pPr>
            <w:r w:rsidR="009A6BA9">
              <w:rPr>
                <w:noProof/>
              </w:rPr>
              <w:t>15</w:t>
            </w:r>
          </w:p>
        </w:tc>
        <w:tc>
          <w:tcPr>
            <w:tcW w:type="dxa" w:w="6232"/>
            <w:vAlign w:val="center"/>
          </w:tcPr>
          <w:p w:rsidP="001B0513" w:rsidR="00A659C2" w:rsidRDefault="00E035B3" w:rsidRPr="00D805A0">
            <w:pPr>
              <w:spacing w:after="0" w:line="240" w:lineRule="auto"/>
              <w:jc w:val="center"/>
            </w:pPr>
            <w:r w:rsidR="001B0513">
              <w:rPr>
                <w:noProof/>
              </w:rPr>
              <w:t>60</w:t>
            </w:r>
          </w:p>
        </w:tc>
        <w:tc>
          <w:tcPr>
            <w:tcW w:type="dxa" w:w="4988"/>
            <w:vAlign w:val="center"/>
          </w:tcPr>
          <w:p w:rsidP="005A1FD4" w:rsidR="00A659C2" w:rsidRDefault="00E32B6D" w:rsidRPr="002A6691">
            <w:pPr>
              <w:spacing w:after="0" w:line="240" w:lineRule="auto"/>
              <w:jc w:val="center"/>
            </w:pPr>
            <w:r w:rsidR="009A6BA9">
              <w:rPr>
                <w:noProof/>
              </w:rPr>
              <w:t>53</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100</w:t>
            </w:r>
          </w:p>
        </w:tc>
      </w:tr>
    </w:tbl>
    <w:p w:rsidP="00A078D4" w:rsidR="00FE725F" w:rsidRDefault="00A078D4" w:rsidRPr="00EF34CA">
      <w:pPr>
        <w:spacing w:after="0" w:line="240" w:lineRule="auto"/>
        <w:jc w:val="center"/>
      </w:pPr>
      <w:r w:rsidRPr="00A078D4">
        <w:rPr>
          <w:noProof/>
        </w:rPr>
        <w:t/>
      </w:r>
    </w:p>
    <w:p w:rsidP="000354C1" w:rsidR="000354C1" w:rsidRDefault="00DC0C1A" w:rsidRPr="00491DF7">
      <w:pPr>
        <w:spacing w:after="0" w:line="240" w:lineRule="auto"/>
      </w:pPr>
      <w:r w:rsidRPr="00500527">
        <w:rPr>
          <w:noProof/>
        </w:rPr>
        <w:t/>
      </w:r>
    </w:p>
    <w:p w:rsidP="000354C1" w:rsidR="000354C1" w:rsidRDefault="000354C1" w:rsidRPr="004D0718">
      <w:pPr>
        <w:spacing w:after="120" w:before="120" w:line="259" w:lineRule="auto"/>
        <w:rPr>
          <w:rFonts w:asciiTheme="minorHAnsi" w:cs="Calibri" w:hAnsiTheme="minorHAnsi"/>
          <w:b/>
          <w:spacing w:val="-10"/>
          <w:lang w:val="en-US"/>
        </w:rPr>
      </w:pPr>
      <w:r w:rsidRPr="000354C1">
        <w:rPr>
          <w:rFonts w:asciiTheme="minorHAnsi" w:cs="Calibri" w:hAnsiTheme="minorHAnsi"/>
          <w:b/>
          <w:spacing w:val="-10"/>
          <w:lang w:val="en-US"/>
        </w:rPr>
        <w:t>All the activities and the Action will achieve 100% of technical progress by their actual end dates</w:t>
      </w:r>
    </w:p>
    <w:p w:rsidR="000809A7" w:rsidRDefault="000354C1" w:rsidRPr="002A6691">
      <w:pPr>
        <w:spacing w:after="0" w:line="240" w:lineRule="auto"/>
        <w:sectPr w:rsidR="000809A7" w:rsidRPr="002A6691" w:rsidSect="000809A7">
          <w:pgSz w:h="11906" w:orient="landscape" w:w="16838"/>
          <w:pgMar w:bottom="1440" w:footer="709" w:gutter="0" w:header="709" w:left="1440" w:right="737" w:top="1440"/>
          <w:cols w:space="708"/>
          <w:docGrid w:linePitch="360"/>
        </w:sectPr>
      </w:pPr>
      <w:r w:rsidRPr="00A078D4">
        <w:rPr>
          <w:noProof/>
        </w:rPr>
        <w:t/>
      </w:r>
      <w:r w:rsidR="00A30AE5" w:rsidRPr="002A6691">
        <w:br w:type="page"/>
      </w:r>
    </w:p>
    <w:p w:rsidR="00A30AE5" w:rsidRDefault="00A30AE5" w:rsidRPr="002A6691">
      <w:pPr>
        <w:spacing w:after="0" w:line="240" w:lineRule="auto"/>
      </w:pPr>
    </w:p>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DA5BB0" w:rsidRPr="00014C3A" w:rsidTr="00A30AE5">
        <w:trPr>
          <w:trHeight w:val="264"/>
          <w:jc w:val="center"/>
        </w:trPr>
        <w:tc>
          <w:tcPr>
            <w:tcW w:type="dxa" w:w="9242"/>
            <w:shd w:color="auto" w:fill="99CCFF" w:val="clear"/>
            <w:tcMar>
              <w:top w:type="dxa" w:w="85"/>
              <w:bottom w:type="dxa" w:w="85"/>
            </w:tcMar>
          </w:tcPr>
          <w:p w:rsidP="0018280C" w:rsidR="00DA5BB0" w:rsidRDefault="00DA5BB0" w:rsidRPr="00E624BC">
            <w:pPr>
              <w:keepNext/>
              <w:spacing w:after="120" w:before="120"/>
              <w:ind w:left="113"/>
              <w:rPr>
                <w:rFonts w:ascii="Verdana" w:hAnsi="Verdana"/>
                <w:b/>
                <w:spacing w:val="-10"/>
              </w:rPr>
            </w:pPr>
            <w:r w:rsidRPr="00E624BC">
              <w:rPr>
                <w:rFonts w:ascii="Verdana" w:hAnsi="Verdana"/>
                <w:b/>
                <w:spacing w:val="-10"/>
              </w:rPr>
              <w:t xml:space="preserve">6.2. </w:t>
            </w:r>
            <w:r w:rsidRPr="00247A24">
              <w:rPr>
                <w:rFonts w:ascii="Verdana" w:hAnsi="Verdana"/>
                <w:b/>
                <w:spacing w:val="-10"/>
                <w:u w:val="single"/>
              </w:rPr>
              <w:t>I</w:t>
            </w:r>
            <w:r w:rsidRPr="001273BA">
              <w:rPr>
                <w:rFonts w:ascii="Verdana" w:hAnsi="Verdana"/>
                <w:b/>
                <w:spacing w:val="-10"/>
                <w:u w:val="single"/>
              </w:rPr>
              <w:t>n the first ASR</w:t>
            </w:r>
            <w:r>
              <w:rPr>
                <w:rFonts w:ascii="Verdana" w:hAnsi="Verdana"/>
                <w:b/>
                <w:spacing w:val="-10"/>
              </w:rPr>
              <w:t xml:space="preserve">, information on governance and monitoring of the Action, such as organizational structure, internal coordination, communication and reporting, and decision making process; </w:t>
            </w:r>
            <w:r w:rsidRPr="001273BA">
              <w:rPr>
                <w:rFonts w:ascii="Verdana" w:hAnsi="Verdana"/>
                <w:b/>
                <w:spacing w:val="-10"/>
                <w:u w:val="single"/>
              </w:rPr>
              <w:t>in subsequent ASR</w:t>
            </w:r>
            <w:r>
              <w:rPr>
                <w:rFonts w:ascii="Verdana" w:hAnsi="Verdana"/>
                <w:b/>
                <w:spacing w:val="-10"/>
              </w:rPr>
              <w:t>, information on any modifications and, if applicable, on the progress of the implementation of the arrangements referred to in previous ASR.</w:t>
            </w:r>
          </w:p>
        </w:tc>
      </w:tr>
      <w:tr w:rsidR="00DA5BB0" w:rsidRPr="00014C3A" w:rsidTr="00A30AE5">
        <w:trPr>
          <w:trHeight w:val="55"/>
          <w:jc w:val="center"/>
        </w:trPr>
        <w:tc>
          <w:tcPr>
            <w:tcW w:type="dxa" w:w="9242"/>
            <w:tcMar>
              <w:top w:type="dxa" w:w="85"/>
              <w:bottom w:type="dxa" w:w="85"/>
            </w:tcMar>
          </w:tcPr>
          <w:p w:rsidP="0061142E" w:rsidR="00DA5BB0" w:rsidRDefault="00EB61FF" w:rsidRPr="00014C3A">
            <w:pPr>
              <w:spacing w:after="120" w:before="120"/>
              <w:ind w:left="113"/>
              <w:rPr>
                <w:rFonts w:ascii="Verdana" w:hAnsi="Verdana"/>
                <w:spacing w:val="-10"/>
              </w:rPr>
            </w:pPr>
            <w:r>
              <w:rPr>
                <w:rFonts w:ascii="Verdana" w:hAnsi="Verdana"/>
                <w:noProof/>
                <w:spacing w:val="-10"/>
              </w:rPr>
              <w:t>Within our organization the Investment department is liable for the implementation of the project. The overall management and the decision making process at the department is ensured by the director and two deputy directors – the deputy director for EU funds management and the deputy director for preparation and prices management. Preparation and implementation of the projects are carried out through the following sections at the Investment Department of ŽSR Directorate General Bratislava (internal designation Department O220), performing their main activities as follows:</w:t>
              <w:br/>
              <w:t xml:space="preserve"/>
              <w:br/>
              <w:t xml:space="preserve">Section of procurement of the EU investments and projects</w:t>
              <w:br/>
              <w:t xml:space="preserve">•</w:t>
              <w:tab/>
              <w:t xml:space="preserve">organizing the entire public procurement process (from establishing a working group for preparing tender documentation to disclosing documents after          a contract has been entered into)</w:t>
              <w:br/>
              <w:t xml:space="preserve">•</w:t>
              <w:tab/>
              <w:t xml:space="preserve">cooperating in ASR preparation</w:t>
              <w:br/>
              <w:t xml:space="preserve"/>
              <w:br/>
              <w:t xml:space="preserve">Section of Proprietary Preparation of Investments</w:t>
              <w:br/>
              <w:t xml:space="preserve">•</w:t>
              <w:tab/>
              <w:t xml:space="preserve">ensuring proprietary and legal settlement for the needs of investment construction, financed from internal resources, capital transfers and EU funds</w:t>
              <w:br/>
              <w:t xml:space="preserve">•</w:t>
              <w:tab/>
              <w:t xml:space="preserve">representing Slovak Railways at expropriation proceedings as well as other proceedings related to proprietary and legal settlement of constructions</w:t>
              <w:br/>
              <w:t xml:space="preserve"/>
              <w:br/>
              <w:t xml:space="preserve">Section of EU Constructions and Projects Preparation</w:t>
              <w:br/>
              <w:t xml:space="preserve">•</w:t>
              <w:tab/>
              <w:t xml:space="preserve">complete management of project preparation constructions financed from internal resources, capital transfer and EU funds in the extent of the methodological procedure for investor activities in Slovak Railways</w:t>
              <w:br/>
              <w:t xml:space="preserve">•</w:t>
              <w:tab/>
              <w:t xml:space="preserve">processing the subjects of procurement procedures for design contractors at all design documentation stages, including requirements for an authorized construction geodesist</w:t>
              <w:br/>
              <w:t xml:space="preserve">•</w:t>
              <w:tab/>
              <w:t xml:space="preserve">preparing requests for conducting national expert inspection, intra-ministerial expert inspection, ministerial expert inspection</w:t>
              <w:br/>
              <w:t xml:space="preserve">•</w:t>
              <w:tab/>
              <w:t xml:space="preserve">preparing notifications of construction start to relevant authorities</w:t>
              <w:br/>
              <w:t xml:space="preserve">•</w:t>
              <w:tab/>
              <w:t xml:space="preserve">preparing requests for issuing approval protocols and expert assessments</w:t>
              <w:br/>
              <w:t xml:space="preserve"/>
              <w:br/>
              <w:t xml:space="preserve">Section of EU programs:</w:t>
              <w:br/>
              <w:t xml:space="preserve">•</w:t>
              <w:tab/>
              <w:t xml:space="preserve">managing of and responsibility for compliance with CEF implementation conditions</w:t>
              <w:br/>
              <w:t xml:space="preserve">•</w:t>
              <w:tab/>
              <w:t xml:space="preserve">managing technical assistance of the EU programs</w:t>
              <w:br/>
              <w:t xml:space="preserve">•</w:t>
              <w:tab/>
              <w:t xml:space="preserve">organizing and managing the end beneficiary process management</w:t>
              <w:br/>
              <w:t xml:space="preserve">•</w:t>
              <w:tab/>
              <w:t xml:space="preserve">ensuring relation with state administration and the EC</w:t>
              <w:br/>
              <w:t xml:space="preserve">representing Slovak Railways at meetings with representatives of the EU, EC, MoT SR and other organizations, responsibility for meeting conditions resulting from the Grant Agreement in the extent of activities of the Department, monitoring compliance with conditions, deadlines, deductions</w:t>
              <w:br/>
              <w:t xml:space="preserve"/>
              <w:br/>
              <w:t xml:space="preserve">Section of EU Constructions and Projects Implementation</w:t>
              <w:br/>
              <w:t xml:space="preserve">•</w:t>
              <w:tab/>
              <w:t xml:space="preserve">ensuring the control of compliance of the construction implementation with the approved project documentation, contractual conditions and the other valid legislation and the valid regulations of Slovak Railways, the Slovak Republic and the EC in the area of his scope of operation, preparation of materials in accordance with requirements and internal manuals</w:t>
              <w:br/>
              <w:t xml:space="preserve">•</w:t>
              <w:tab/>
              <w:t xml:space="preserve">control of compliance of the performance of activity of construction supervision with the Contract on Provision of Services</w:t>
              <w:br/>
              <w:t xml:space="preserve">•</w:t>
              <w:tab/>
              <w:t xml:space="preserve">participation in inspection days of the construction, technical inspections, hand-overs and take-overs, monitoring and assessing weekly, monthly and quarterly reports sent by the contractor or the building inspector, preparing documents for lockout activities and a train diagram board</w:t>
              <w:br/>
              <w:t xml:space="preserve"/>
              <w:br/>
              <w:t xml:space="preserve">Section of financial management of EU projects</w:t>
              <w:br/>
              <w:t xml:space="preserve">•</w:t>
              <w:tab/>
              <w:t xml:space="preserve">verification of the contractor´s invoices</w:t>
              <w:br/>
              <w:t xml:space="preserve">•</w:t>
              <w:tab/>
              <w:t xml:space="preserve">management of payments to the contractors</w:t>
              <w:br/>
              <w:t xml:space="preserve">•</w:t>
              <w:tab/>
              <w:t xml:space="preserve">financial reporting (requests for payment, financial statements, supporting financial documents, etc.)</w:t>
              <w:br/>
              <w:t xml:space="preserve">•</w:t>
              <w:tab/>
              <w:t xml:space="preserve">preparation of financial plans</w:t>
              <w:br/>
              <w:t xml:space="preserve">•</w:t>
              <w:tab/>
              <w:t xml:space="preserve">monitoring of financial progress </w:t>
              <w:br/>
              <w:t xml:space="preserve">•</w:t>
              <w:tab/>
              <w:t xml:space="preserve">participation in meetings related to project implementation</w:t>
              <w:br/>
              <w:t xml:space="preserve">•</w:t>
              <w:tab/>
              <w:t xml:space="preserve">cooperation on ASR preparation</w:t>
              <w:br/>
              <w:t xml:space="preserve"/>
              <w:br/>
              <w:t xml:space="preserve">The given sections are being involved in communication process on regular daily basis including weekly meetings of the director, the deputy directors and the heads of the sections.</w:t>
              <w:br/>
              <w:t xml:space="preserve"/>
              <w:br/>
              <w:t xml:space="preserve"/>
              <w:br/>
              <w:t xml:space="preserve"/>
              <w:br/>
              <w:t xml:space="preserve"/>
            </w:r>
          </w:p>
        </w:tc>
      </w:tr>
    </w:tbl>
    <w:p w:rsidR="00DA5BB0" w:rsidRDefault="00DA5BB0"/>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DA5BB0" w:rsidRPr="00014C3A" w:rsidTr="0018280C">
        <w:trPr>
          <w:trHeight w:val="264"/>
          <w:jc w:val="center"/>
        </w:trPr>
        <w:tc>
          <w:tcPr>
            <w:tcW w:type="dxa" w:w="9594"/>
            <w:shd w:color="auto" w:fill="99CCFF" w:val="clear"/>
            <w:tcMar>
              <w:top w:type="dxa" w:w="85"/>
              <w:bottom w:type="dxa" w:w="85"/>
            </w:tcMar>
          </w:tcPr>
          <w:p w:rsidP="0018280C" w:rsidR="00DA5BB0" w:rsidRDefault="00DA5BB0" w:rsidRPr="00E624BC">
            <w:pPr>
              <w:keepNext/>
              <w:spacing w:after="120" w:before="120"/>
              <w:ind w:left="113"/>
              <w:rPr>
                <w:rFonts w:ascii="Verdana" w:hAnsi="Verdana"/>
                <w:b/>
                <w:spacing w:val="-10"/>
              </w:rPr>
            </w:pPr>
            <w:r>
              <w:rPr>
                <w:rFonts w:ascii="Verdana" w:hAnsi="Verdana"/>
                <w:b/>
                <w:spacing w:val="-10"/>
              </w:rPr>
              <w:t>6.3</w:t>
            </w:r>
            <w:r w:rsidRPr="00E624BC">
              <w:rPr>
                <w:rFonts w:ascii="Verdana" w:hAnsi="Verdana"/>
                <w:b/>
                <w:spacing w:val="-10"/>
              </w:rPr>
              <w:t xml:space="preserve">. </w:t>
            </w:r>
            <w:r>
              <w:rPr>
                <w:rFonts w:ascii="Verdana" w:hAnsi="Verdana"/>
                <w:b/>
                <w:spacing w:val="-10"/>
                <w:u w:val="single"/>
              </w:rPr>
              <w:t>I</w:t>
            </w:r>
            <w:r w:rsidRPr="001273BA">
              <w:rPr>
                <w:rFonts w:ascii="Verdana" w:hAnsi="Verdana"/>
                <w:b/>
                <w:spacing w:val="-10"/>
                <w:u w:val="single"/>
              </w:rPr>
              <w:t>n the first ASR</w:t>
            </w:r>
            <w:r>
              <w:rPr>
                <w:rFonts w:ascii="Verdana" w:hAnsi="Verdana"/>
                <w:b/>
                <w:spacing w:val="-10"/>
              </w:rPr>
              <w:t xml:space="preserve">, information on other relevant administrative provisions, such as quality controls and audits; </w:t>
            </w:r>
            <w:r w:rsidRPr="001273BA">
              <w:rPr>
                <w:rFonts w:ascii="Verdana" w:hAnsi="Verdana"/>
                <w:b/>
                <w:spacing w:val="-10"/>
                <w:u w:val="single"/>
              </w:rPr>
              <w:t>in subsequent ASR</w:t>
            </w:r>
            <w:r>
              <w:rPr>
                <w:rFonts w:ascii="Verdana" w:hAnsi="Verdana"/>
                <w:b/>
                <w:spacing w:val="-10"/>
              </w:rPr>
              <w:t>, information on any modifications and, if applicable, on the progress of the implementation of the arrangements referred to in previous ASR.</w:t>
            </w:r>
          </w:p>
        </w:tc>
      </w:tr>
      <w:tr w:rsidR="00DA5BB0" w:rsidRPr="00014C3A" w:rsidTr="0018280C">
        <w:trPr>
          <w:trHeight w:val="55"/>
          <w:jc w:val="center"/>
        </w:trPr>
        <w:tc>
          <w:tcPr>
            <w:tcW w:type="dxa" w:w="9594"/>
            <w:tcMar>
              <w:top w:type="dxa" w:w="85"/>
              <w:bottom w:type="dxa" w:w="85"/>
            </w:tcMar>
          </w:tcPr>
          <w:p w:rsidP="0061142E" w:rsidR="00DA5BB0" w:rsidRDefault="00EB61FF" w:rsidRPr="00014C3A">
            <w:pPr>
              <w:spacing w:after="120" w:before="120"/>
              <w:ind w:left="113"/>
              <w:rPr>
                <w:rFonts w:ascii="Verdana" w:hAnsi="Verdana"/>
                <w:spacing w:val="-10"/>
              </w:rPr>
            </w:pPr>
            <w:r>
              <w:rPr>
                <w:rFonts w:ascii="Verdana" w:hAnsi="Verdana"/>
                <w:noProof/>
                <w:spacing w:val="-10"/>
              </w:rPr>
              <w:t>So far, no external audits related to the Action have been performed.</w:t>
              <w:br/>
              <w:t xml:space="preserve"/>
              <w:br/>
              <w:t xml:space="preserve">•</w:t>
              <w:tab/>
              <w:t xml:space="preserve">The nature of construction works, respectively. a wide range of specialized activities with a different focus (railway upholstery and substructure, electric power, notification and security technology, telecommunications, etc.) require the cooperation of all interested departments of the ŽSR.</w:t>
              <w:br/>
              <w:t xml:space="preserve"/>
              <w:br/>
              <w:t xml:space="preserve">•</w:t>
              <w:tab/>
              <w:t xml:space="preserve">The communication takes place in the form of official correspondence, working meetings at the building management level (Contractor, during control days at three-week intervals) as well as at ŽSR Directorate General level during the operational workshops. In addition to the control days, the contractor's production meetings are held weekly.</w:t>
              <w:br/>
              <w:t xml:space="preserve"/>
              <w:br/>
              <w:t xml:space="preserve">•</w:t>
              <w:tab/>
              <w:t xml:space="preserve">The progress of the construction work is recorded in the weekly reports of the contractor, which are submitted to the Client each Monday. The contractor also submits a report on the progress of construction works in monthly reports. The reports evaluate the construction process in terms of time and substance fulfilment, current issues and possible risks that emerged during the actual implementation. The Construction Supervision shall be submitted to the Client by the Construction Supervision Administration once every three months. The report records the progress of the work, the timetable, timeliness / inconsistency, billing data overview, SWOT analysis, and so on. Upon completion of the construction works, the construction supervisor issues Taking-over Certificate.</w:t>
              <w:br/>
              <w:t xml:space="preserve"/>
            </w:r>
          </w:p>
        </w:tc>
      </w:tr>
    </w:tbl>
    <w:p w:rsidP="00034E46" w:rsidR="00DA5BB0" w:rsidRDefault="00DA5BB0" w:rsidRPr="00034E46">
      <w:pPr>
        <w:spacing w:after="120" w:before="120"/>
        <w:ind w:left="113"/>
        <w:rPr>
          <w:rFonts w:ascii="Verdana" w:hAnsi="Verdana"/>
        </w:rPr>
      </w:pPr>
      <w:r w:rsidRPr="00AE7828">
        <w:rPr>
          <w:rFonts w:ascii="Verdana" w:hAnsi="Verdana"/>
        </w:rPr>
        <w:t>ANNEX: Financial information (GA II.23.1.1.d</w:t>
      </w:r>
      <w:r>
        <w:rPr>
          <w:rFonts w:ascii="Verdana" w:hAnsi="Verdana"/>
        </w:rPr>
        <w:t xml:space="preserve"> to </w:t>
      </w:r>
      <w:r w:rsidRPr="00AE7828">
        <w:rPr>
          <w:rFonts w:ascii="Verdana" w:hAnsi="Verdana"/>
        </w:rPr>
        <w:t xml:space="preserve">f or </w:t>
      </w:r>
      <w:r>
        <w:rPr>
          <w:rFonts w:ascii="Verdana" w:hAnsi="Verdana"/>
        </w:rPr>
        <w:t xml:space="preserve">SESAR FPA </w:t>
      </w:r>
      <w:r w:rsidRPr="00AE7828">
        <w:rPr>
          <w:rFonts w:ascii="Verdana" w:hAnsi="Verdana"/>
        </w:rPr>
        <w:t>II.23.1b.d to f)</w:t>
      </w:r>
      <w:r w:rsidRPr="00AE7828">
        <w:rPr>
          <w:rFonts w:ascii="Verdana" w:hAnsi="Verdana"/>
          <w:spacing w:val="-10"/>
          <w:highlight w:val="yellow"/>
        </w:rPr>
        <w:br w:type="page"/>
      </w:r>
    </w:p>
    <w:p w:rsidR="00DA5BB0" w:rsidRDefault="00DA5BB0"/>
    <w:tbl>
      <w:tblPr>
        <w:tblW w:type="pct" w:w="5000"/>
        <w:jc w:val="center"/>
        <w:tblLook w:firstColumn="1" w:firstRow="1" w:lastColumn="0" w:lastRow="0" w:noHBand="0" w:noVBand="1" w:val="04A0"/>
      </w:tblPr>
      <w:tblGrid>
        <w:gridCol w:w="2412"/>
        <w:gridCol w:w="6830"/>
      </w:tblGrid>
      <w:tr w:rsidR="00034E46" w:rsidRPr="006405BD" w:rsidTr="0018280C">
        <w:trPr>
          <w:trHeight w:val="1320"/>
          <w:jc w:val="center"/>
        </w:trPr>
        <w:tc>
          <w:tcPr>
            <w:tcW w:type="dxa" w:w="9594"/>
            <w:gridSpan w:val="2"/>
            <w:vMerge w:val="restart"/>
            <w:tcBorders>
              <w:top w:color="auto" w:space="0" w:sz="8" w:val="single"/>
              <w:left w:color="auto" w:space="0" w:sz="8" w:val="single"/>
              <w:bottom w:color="000000" w:space="0" w:sz="8" w:val="single"/>
              <w:right w:color="000000" w:space="0" w:sz="8" w:val="single"/>
            </w:tcBorders>
            <w:shd w:color="000000" w:fill="99CCFF" w:val="clear"/>
            <w:vAlign w:val="center"/>
            <w:hideMark/>
          </w:tcPr>
          <w:p w:rsidP="00887EE8" w:rsidR="00034E46" w:rsidRDefault="00034E46" w:rsidRPr="002B0D3F">
            <w:pPr>
              <w:spacing w:after="0" w:line="240" w:lineRule="auto"/>
              <w:jc w:val="center"/>
              <w:rPr>
                <w:rFonts w:ascii="Verdana" w:cs="Arial" w:eastAsia="Times New Roman" w:hAnsi="Verdana"/>
                <w:b/>
                <w:bCs/>
                <w:sz w:val="24"/>
                <w:szCs w:val="24"/>
                <w:lang w:eastAsia="en-GB"/>
              </w:rPr>
            </w:pPr>
            <w:bookmarkStart w:id="1" w:name="RANGE!B3"/>
            <w:r w:rsidRPr="002B0D3F">
              <w:rPr>
                <w:rFonts w:ascii="Verdana" w:cs="Arial" w:eastAsia="Times New Roman" w:hAnsi="Verdana"/>
                <w:b/>
                <w:bCs/>
                <w:sz w:val="24"/>
                <w:szCs w:val="24"/>
                <w:lang w:eastAsia="en-GB"/>
              </w:rPr>
              <w:t>CERTIFICATION OF THE MEMBER STATE</w:t>
            </w:r>
            <w:r w:rsidRPr="00DA58BF">
              <w:rPr>
                <w:rFonts w:ascii="Verdana" w:cs="Arial" w:eastAsia="Times New Roman" w:hAnsi="Verdana"/>
                <w:b/>
                <w:bCs/>
                <w:sz w:val="24"/>
                <w:szCs w:val="24"/>
                <w:vertAlign w:val="superscript"/>
                <w:lang w:eastAsia="en-GB"/>
              </w:rPr>
              <w:t>*</w:t>
            </w:r>
          </w:p>
          <w:p w:rsidP="00887EE8" w:rsidR="00034E46" w:rsidRDefault="00034E46" w:rsidRPr="002B0D3F">
            <w:pPr>
              <w:spacing w:after="0" w:line="240" w:lineRule="auto"/>
              <w:jc w:val="center"/>
              <w:rPr>
                <w:rFonts w:ascii="Verdana" w:cs="Arial" w:eastAsia="Times New Roman" w:hAnsi="Verdana"/>
                <w:b/>
                <w:bCs/>
                <w:sz w:val="24"/>
                <w:szCs w:val="24"/>
                <w:lang w:eastAsia="en-GB"/>
              </w:rPr>
            </w:pPr>
            <w:r w:rsidRPr="002B0D3F">
              <w:rPr>
                <w:rFonts w:ascii="Verdana" w:cs="Arial" w:eastAsia="Times New Roman" w:hAnsi="Verdana"/>
                <w:sz w:val="24"/>
                <w:szCs w:val="24"/>
                <w:lang w:eastAsia="en-GB"/>
              </w:rPr>
              <w:t>(applicable only for ASR and for beneficiaries established in the European Union)</w:t>
            </w:r>
            <w:bookmarkEnd w:id="1"/>
          </w:p>
        </w:tc>
      </w:tr>
      <w:tr w:rsidR="00034E46" w:rsidRPr="006405BD" w:rsidTr="0018280C">
        <w:trPr>
          <w:trHeight w:val="389"/>
          <w:jc w:val="center"/>
        </w:trPr>
        <w:tc>
          <w:tcPr>
            <w:tcW w:type="dxa" w:w="9594"/>
            <w:gridSpan w:val="2"/>
            <w:vMerge/>
            <w:tcBorders>
              <w:top w:color="auto" w:space="0" w:sz="8" w:val="single"/>
              <w:left w:color="auto" w:space="0" w:sz="8" w:val="single"/>
              <w:bottom w:color="000000" w:space="0" w:sz="8" w:val="single"/>
              <w:right w:color="000000" w:space="0" w:sz="8" w:val="single"/>
            </w:tcBorders>
            <w:vAlign w:val="center"/>
            <w:hideMark/>
          </w:tcPr>
          <w:p w:rsidP="00887EE8" w:rsidR="00034E46" w:rsidRDefault="00034E46" w:rsidRPr="002B0D3F">
            <w:pPr>
              <w:spacing w:after="0" w:line="240" w:lineRule="auto"/>
              <w:rPr>
                <w:rFonts w:ascii="Verdana" w:cs="Arial" w:eastAsia="Times New Roman" w:hAnsi="Verdana"/>
                <w:b/>
                <w:bCs/>
                <w:sz w:val="24"/>
                <w:szCs w:val="24"/>
                <w:lang w:eastAsia="en-GB"/>
              </w:rPr>
            </w:pP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Name</w:t>
            </w:r>
          </w:p>
        </w:tc>
        <w:tc>
          <w:tcPr>
            <w:tcW w:type="dxa" w:w="7094"/>
            <w:tcBorders>
              <w:top w:color="auto" w:space="0" w:sz="8" w:val="single"/>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Position</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6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Pr>
                <w:rFonts w:ascii="Verdana" w:cs="Arial" w:eastAsia="Times New Roman" w:hAnsi="Verdana"/>
                <w:sz w:val="24"/>
                <w:szCs w:val="24"/>
                <w:lang w:eastAsia="en-GB"/>
              </w:rPr>
              <w:t>Entity</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Telephone Nº</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10"/>
          <w:jc w:val="center"/>
        </w:trPr>
        <w:tc>
          <w:tcPr>
            <w:tcW w:type="dxa" w:w="2500"/>
            <w:tcBorders>
              <w:top w:val="nil"/>
              <w:left w:color="auto" w:space="0" w:sz="8" w:val="single"/>
              <w:bottom w:color="auto"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E-mail</w:t>
            </w:r>
          </w:p>
        </w:tc>
        <w:tc>
          <w:tcPr>
            <w:tcW w:type="dxa" w:w="7094"/>
            <w:tcBorders>
              <w:top w:val="nil"/>
              <w:left w:val="nil"/>
              <w:bottom w:color="auto" w:space="0" w:sz="8"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585"/>
          <w:jc w:val="center"/>
        </w:trPr>
        <w:tc>
          <w:tcPr>
            <w:tcW w:type="dxa" w:w="9594"/>
            <w:gridSpan w:val="2"/>
            <w:tcBorders>
              <w:top w:color="auto" w:space="0" w:sz="8" w:val="single"/>
              <w:left w:color="auto" w:space="0" w:sz="8" w:val="single"/>
              <w:bottom w:val="nil"/>
              <w:right w:color="000000" w:space="0" w:sz="8" w:val="single"/>
            </w:tcBorders>
            <w:shd w:color="000000" w:fill="FFFF99" w:val="clear"/>
            <w:noWrap/>
            <w:vAlign w:val="center"/>
            <w:hideMark/>
          </w:tcPr>
          <w:p w:rsidP="00887EE8" w:rsidR="00034E46" w:rsidRDefault="00034E46">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In compliance with Article II.23.1</w:t>
            </w:r>
            <w:r>
              <w:rPr>
                <w:rFonts w:ascii="Verdana" w:cs="Arial" w:eastAsia="Times New Roman" w:hAnsi="Verdana"/>
                <w:sz w:val="24"/>
                <w:szCs w:val="24"/>
                <w:lang w:eastAsia="en-GB"/>
              </w:rPr>
              <w:t xml:space="preserve"> (</w:t>
            </w:r>
            <w:r w:rsidRPr="00AE7828">
              <w:rPr>
                <w:rFonts w:ascii="Verdana" w:cs="Arial" w:eastAsia="Times New Roman" w:hAnsi="Verdana"/>
                <w:sz w:val="24"/>
                <w:szCs w:val="24"/>
                <w:lang w:eastAsia="en-GB"/>
              </w:rPr>
              <w:t xml:space="preserve">or </w:t>
            </w:r>
            <w:r>
              <w:rPr>
                <w:rFonts w:ascii="Verdana" w:cs="Arial" w:eastAsia="Times New Roman" w:hAnsi="Verdana"/>
                <w:sz w:val="24"/>
                <w:szCs w:val="24"/>
                <w:lang w:eastAsia="en-GB"/>
              </w:rPr>
              <w:t xml:space="preserve">SESAR FPA </w:t>
            </w:r>
            <w:r w:rsidRPr="00AE7828">
              <w:rPr>
                <w:rFonts w:ascii="Verdana" w:cs="Arial" w:eastAsia="Times New Roman" w:hAnsi="Verdana"/>
                <w:sz w:val="24"/>
                <w:szCs w:val="24"/>
                <w:lang w:eastAsia="en-GB"/>
              </w:rPr>
              <w:t>II.23.1b)</w:t>
            </w:r>
            <w:r w:rsidRPr="006405BD">
              <w:rPr>
                <w:rFonts w:ascii="Verdana" w:cs="Arial" w:eastAsia="Times New Roman" w:hAnsi="Verdana"/>
                <w:sz w:val="24"/>
                <w:szCs w:val="24"/>
                <w:lang w:eastAsia="en-GB"/>
              </w:rPr>
              <w:t xml:space="preserve"> of the GA, it is certified that the information provided </w:t>
            </w:r>
            <w:r>
              <w:rPr>
                <w:rFonts w:ascii="Verdana" w:cs="Arial" w:eastAsia="Times New Roman" w:hAnsi="Verdana"/>
                <w:sz w:val="24"/>
                <w:szCs w:val="24"/>
                <w:lang w:eastAsia="en-GB"/>
              </w:rPr>
              <w:t xml:space="preserve">by the following Beneficiary(ies) </w:t>
            </w:r>
            <w:r w:rsidRPr="006405BD">
              <w:rPr>
                <w:rFonts w:ascii="Verdana" w:cs="Arial" w:eastAsia="Times New Roman" w:hAnsi="Verdana"/>
                <w:sz w:val="24"/>
                <w:szCs w:val="24"/>
                <w:lang w:eastAsia="en-GB"/>
              </w:rPr>
              <w:t>in the ASR is full, reliable and true.</w:t>
            </w:r>
          </w:p>
          <w:p w:rsidP="00E37589" w:rsidR="006F3248" w:rsidRDefault="009B50DB" w:rsidRPr="00E37589">
            <w:pPr>
              <w:spacing w:after="0" w:line="240" w:lineRule="auto"/>
              <w:rPr>
                <w:rFonts w:ascii="Verdana" w:cs="Arial" w:eastAsia="Times New Roman" w:hAnsi="Verdana"/>
                <w:sz w:val="24"/>
                <w:szCs w:val="24"/>
                <w:lang w:eastAsia="en-GB"/>
              </w:rPr>
            </w:pPr>
            <w:r>
              <w:rPr>
                <w:rFonts w:ascii="Verdana" w:cs="Arial" w:eastAsia="Times New Roman" w:hAnsi="Verdana"/>
                <w:noProof/>
                <w:sz w:val="24"/>
                <w:szCs w:val="24"/>
                <w:lang w:eastAsia="en-GB"/>
              </w:rPr>
              <w:t/>
            </w:r>
          </w:p>
          <w:p w:rsidP="00C11AF2" w:rsidR="00034E46" w:rsidRDefault="006F3248" w:rsidRPr="00B21FD8">
            <w:pPr>
              <w:pStyle w:val="ListParagraph"/>
              <w:numPr>
                <w:ilvl w:val="0"/>
                <w:numId w:val="4"/>
              </w:numPr>
              <w:ind w:hanging="357" w:left="714"/>
              <w:contextualSpacing w:val="0"/>
              <w:rPr>
                <w:rFonts w:ascii="Verdana" w:cs="Times New Roman" w:hAnsi="Verdana"/>
                <w:bCs/>
                <w:sz w:val="20"/>
              </w:rPr>
            </w:pPr>
            <w:r w:rsidRPr="006F3248">
              <w:rPr>
                <w:rFonts w:ascii="Verdana" w:hAnsi="Verdana"/>
                <w:bCs/>
                <w:noProof/>
                <w:sz w:val="20"/>
              </w:rPr>
              <w:t>Železnice Slovenskej republiky</w:t>
            </w:r>
            <w:r w:rsidR="00B21FD8" w:rsidRPr="006F3248">
              <w:rPr>
                <w:rFonts w:ascii="Verdana" w:cs="Times New Roman" w:hAnsi="Verdana"/>
                <w:bCs/>
                <w:sz w:val="20"/>
              </w:rPr>
              <w:t/>
            </w:r>
          </w:p>
        </w:tc>
      </w:tr>
      <w:tr w:rsidR="00034E46" w:rsidRPr="006405BD" w:rsidTr="0018280C">
        <w:trPr>
          <w:trHeight w:val="525"/>
          <w:jc w:val="center"/>
        </w:trPr>
        <w:tc>
          <w:tcPr>
            <w:tcW w:type="dxa" w:w="9594"/>
            <w:gridSpan w:val="2"/>
            <w:vMerge w:val="restart"/>
            <w:tcBorders>
              <w:top w:val="nil"/>
              <w:left w:color="auto" w:space="0" w:sz="8" w:val="single"/>
              <w:bottom w:val="nil"/>
              <w:right w:color="000000" w:space="0" w:sz="8" w:val="single"/>
            </w:tcBorders>
            <w:shd w:color="000000" w:fill="FFFF99" w:val="clear"/>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9594"/>
            <w:gridSpan w:val="2"/>
            <w:vMerge/>
            <w:tcBorders>
              <w:top w:val="nil"/>
              <w:left w:color="auto" w:space="0" w:sz="8" w:val="single"/>
              <w:bottom w:val="nil"/>
              <w:right w:color="000000"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00"/>
          <w:jc w:val="center"/>
        </w:trPr>
        <w:tc>
          <w:tcPr>
            <w:tcW w:type="dxa" w:w="2500"/>
            <w:tcBorders>
              <w:top w:color="auto" w:space="0" w:sz="18" w:val="single"/>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Date and signature</w:t>
            </w:r>
          </w:p>
        </w:tc>
        <w:tc>
          <w:tcPr>
            <w:tcW w:type="dxa" w:w="7094"/>
            <w:vMerge w:val="restart"/>
            <w:tcBorders>
              <w:top w:color="auto" w:space="0" w:sz="8" w:val="single"/>
              <w:left w:color="auto" w:space="0" w:sz="8" w:val="single"/>
              <w:bottom w:color="000000" w:space="0" w:sz="8" w:val="single"/>
              <w:right w:color="000000" w:space="0" w:sz="8" w:val="single"/>
            </w:tcBorders>
            <w:shd w:color="auto" w:fill="auto" w:val="clear"/>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r w:rsidRPr="00373E25">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bookmarkStart w:id="2" w:name="RANGE!B4"/>
            <w:bookmarkStart w:id="3" w:name="RANGE!B19"/>
            <w:bookmarkEnd w:id="2"/>
            <w:r w:rsidRPr="006405BD">
              <w:rPr>
                <w:rFonts w:ascii="Verdana" w:cs="Arial" w:eastAsia="Times New Roman" w:hAnsi="Verdana"/>
                <w:sz w:val="24"/>
                <w:szCs w:val="24"/>
                <w:lang w:eastAsia="en-GB"/>
              </w:rPr>
              <w:t> </w:t>
            </w:r>
            <w:bookmarkEnd w:id="3"/>
          </w:p>
        </w:tc>
        <w:tc>
          <w:tcPr>
            <w:tcW w:type="dxa" w:w="7094"/>
            <w:vMerge/>
            <w:tcBorders>
              <w:top w:val="nil"/>
              <w:left w:color="auto" w:space="0" w:sz="8" w:val="single"/>
              <w:bottom w:val="nil"/>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00"/>
          <w:jc w:val="center"/>
        </w:trPr>
        <w:tc>
          <w:tcPr>
            <w:tcW w:type="dxa" w:w="2500"/>
            <w:tcBorders>
              <w:top w:val="nil"/>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 </w:t>
            </w:r>
          </w:p>
        </w:tc>
        <w:tc>
          <w:tcPr>
            <w:tcW w:type="dxa" w:w="7094"/>
            <w:vMerge/>
            <w:tcBorders>
              <w:top w:val="nil"/>
              <w:left w:color="auto" w:space="0" w:sz="8" w:val="single"/>
              <w:bottom w:val="nil"/>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10"/>
          <w:jc w:val="center"/>
        </w:trPr>
        <w:tc>
          <w:tcPr>
            <w:tcW w:type="dxa" w:w="2500"/>
            <w:tcBorders>
              <w:top w:val="nil"/>
              <w:left w:color="auto" w:space="0" w:sz="8" w:val="single"/>
              <w:bottom w:color="auto"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 xml:space="preserve"> </w:t>
            </w:r>
          </w:p>
        </w:tc>
        <w:tc>
          <w:tcPr>
            <w:tcW w:type="dxa" w:w="7094"/>
            <w:vMerge/>
            <w:tcBorders>
              <w:top w:val="nil"/>
              <w:left w:color="auto" w:space="0" w:sz="8" w:val="single"/>
              <w:bottom w:color="auto"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val="restart"/>
            <w:tcBorders>
              <w:top w:val="nil"/>
              <w:left w:color="auto" w:space="0" w:sz="8" w:val="single"/>
              <w:bottom w:color="000000"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Stamp (optional)</w:t>
            </w: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bl>
    <w:p w:rsidP="00034E46" w:rsidR="00034E46" w:rsidRDefault="00034E46" w:rsidRPr="00DA58BF">
      <w:pPr>
        <w:spacing w:after="120" w:before="120"/>
        <w:ind w:left="113"/>
        <w:rPr>
          <w:rFonts w:ascii="Verdana" w:hAnsi="Verdana"/>
        </w:rPr>
      </w:pPr>
      <w:r w:rsidRPr="00DA58BF">
        <w:rPr>
          <w:rFonts w:ascii="Verdana" w:hAnsi="Verdana"/>
        </w:rPr>
        <w:t xml:space="preserve">* In line with the terms of Art. </w:t>
      </w:r>
      <w:r>
        <w:rPr>
          <w:rFonts w:ascii="Verdana" w:hAnsi="Verdana"/>
        </w:rPr>
        <w:t>22 of the CEF Regulation</w:t>
      </w:r>
    </w:p>
    <w:p w:rsidR="0088073E" w:rsidRDefault="0088073E"/>
    <w:p w:rsidR="00AB36AE" w:rsidRDefault="00AB36AE"/>
    <w:sectPr w:rsidR="00AB36AE" w:rsidSect="00876A81">
      <w:pgSz w:h="16838" w:w="11906"/>
      <w:pgMar w:bottom="1440" w:footer="709" w:gutter="0" w:header="709" w:left="1440" w:right="1440" w:top="7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B6D" w:rsidRDefault="00E32B6D" w:rsidP="00D51F72">
      <w:pPr>
        <w:spacing w:after="0" w:line="240" w:lineRule="auto"/>
      </w:pPr>
      <w:r>
        <w:separator/>
      </w:r>
    </w:p>
  </w:endnote>
  <w:endnote w:type="continuationSeparator" w:id="0">
    <w:p w:rsidR="00E32B6D" w:rsidRDefault="00E32B6D" w:rsidP="00D5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38025320"/>
      <w:docPartObj>
        <w:docPartGallery w:val="Page Numbers (Bottom of Page)"/>
        <w:docPartUnique/>
      </w:docPartObj>
    </w:sdtPr>
    <w:sdtEndPr>
      <w:rPr>
        <w:noProof/>
      </w:rPr>
    </w:sdtEndPr>
    <w:sdtContent>
      <w:p w:rsidP="00946550" w:rsidR="00B96929" w:rsidRDefault="00E035B3">
        <w:pPr>
          <w:pStyle w:val="Footer"/>
          <w:rPr>
            <w:noProof/>
          </w:rPr>
        </w:pPr>
        <w:r w:rsidR="00946550">
          <w:rPr>
            <w:noProof/>
          </w:rPr>
          <w:t>2019-SK-TMC-0143-W_ASR2024_1_20240327_1023</w:t>
        </w:r>
        <w:r w:rsidR="00946550">
          <w:ptab w:alignment="right" w:leader="none" w:relativeTo="margin"/>
        </w:r>
        <w:r w:rsidR="00B96929">
          <w:fldChar w:fldCharType="begin"/>
        </w:r>
        <w:r w:rsidR="00B96929">
          <w:instrText xml:space="preserve"> PAGE   \* MERGEFORMAT </w:instrText>
        </w:r>
        <w:r w:rsidR="00B96929">
          <w:fldChar w:fldCharType="separate"/>
        </w:r>
        <w:r w:rsidR="00251DEF">
          <w:rPr>
            <w:noProof/>
          </w:rPr>
          <w:t>5</w:t>
        </w:r>
        <w:r w:rsidR="00B96929">
          <w:rPr>
            <w:noProof/>
          </w:rPr>
          <w:fldChar w:fldCharType="end"/>
        </w:r>
      </w:p>
      <w:p w:rsidP="00B96929" w:rsidR="00D51F72" w:rsidRDefault="00E32B6D">
        <w:pPr>
          <w:pStyle w:val="Footer"/>
          <w:jc w:val="right"/>
          <w:rPr>
            <w:noProof/>
          </w:rPr>
        </w:pPr>
      </w:p>
    </w:sdtContent>
  </w:sdt>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D51F72" w:rsidR="00E32B6D" w:rsidRDefault="00E32B6D">
      <w:pPr>
        <w:spacing w:after="0" w:line="240" w:lineRule="auto"/>
      </w:pPr>
      <w:r>
        <w:separator/>
      </w:r>
    </w:p>
  </w:footnote>
  <w:footnote w:id="0" w:type="continuationSeparator">
    <w:p w:rsidP="00D51F72" w:rsidR="00E32B6D" w:rsidRDefault="00E32B6D">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7C468B" w:rsidR="00D51F72" w:rsidRDefault="007C468B">
    <w:pPr>
      <w:spacing w:after="0" w:line="240" w:lineRule="auto"/>
      <w:jc w:val="right"/>
    </w:pPr>
    <w:r w:rsidRPr="00DB078F">
      <w:rPr>
        <w:i/>
      </w:rPr>
      <w:t xml:space="preserve">Reporting period: </w:t>
    </w:r>
    <w:r w:rsidR="00DC7DF8">
      <w:rPr>
        <w:i/>
        <w:noProof/>
      </w:rPr>
      <w:t>1 January 2023 - 31 December 2023</w: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42FC0FBB"/>
    <w:multiLevelType w:val="hybridMultilevel"/>
    <w:tmpl w:val="541E9C7A"/>
    <w:lvl w:ilvl="0" w:tplc="E6EA5A96">
      <w:start w:val="1"/>
      <w:numFmt w:val="bullet"/>
      <w:lvlText w:val="£"/>
      <w:lvlJc w:val="left"/>
      <w:pPr>
        <w:ind w:hanging="360" w:left="720"/>
      </w:pPr>
      <w:rPr>
        <w:rFonts w:ascii="Wingdings 2" w:hAnsi="Wingdings 2" w:hint="default"/>
      </w:rPr>
    </w:lvl>
    <w:lvl w:ilvl="1" w:tentative="1" w:tplc="08090003">
      <w:start w:val="1"/>
      <w:numFmt w:val="bullet"/>
      <w:lvlText w:val="o"/>
      <w:lvlJc w:val="left"/>
      <w:pPr>
        <w:ind w:hanging="360" w:left="1440"/>
      </w:pPr>
      <w:rPr>
        <w:rFonts w:ascii="Courier New" w:cs="Courier New" w:hAnsi="Courier New" w:hint="default"/>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
    <w:nsid w:val="700F4B24"/>
    <w:multiLevelType w:val="hybridMultilevel"/>
    <w:tmpl w:val="8E0A96DE"/>
    <w:lvl w:ilvl="0" w:tplc="542694EE">
      <w:start w:val="1"/>
      <w:numFmt w:val="lowerLetter"/>
      <w:lvlText w:val="%1)"/>
      <w:lvlJc w:val="left"/>
      <w:pPr>
        <w:ind w:hanging="360" w:left="360"/>
      </w:pPr>
      <w:rPr>
        <w:b/>
        <w:i w:val="0"/>
      </w:rPr>
    </w:lvl>
    <w:lvl w:ilvl="1" w:tentative="1" w:tplc="08090019">
      <w:start w:val="1"/>
      <w:numFmt w:val="lowerLetter"/>
      <w:lvlText w:val="%2."/>
      <w:lvlJc w:val="left"/>
      <w:pPr>
        <w:ind w:hanging="360" w:left="1080"/>
      </w:pPr>
    </w:lvl>
    <w:lvl w:ilvl="2" w:tentative="1" w:tplc="0809001B">
      <w:start w:val="1"/>
      <w:numFmt w:val="lowerRoman"/>
      <w:lvlText w:val="%3."/>
      <w:lvlJc w:val="right"/>
      <w:pPr>
        <w:ind w:hanging="180" w:left="1800"/>
      </w:pPr>
    </w:lvl>
    <w:lvl w:ilvl="3" w:tentative="1" w:tplc="0809000F">
      <w:start w:val="1"/>
      <w:numFmt w:val="decimal"/>
      <w:lvlText w:val="%4."/>
      <w:lvlJc w:val="left"/>
      <w:pPr>
        <w:ind w:hanging="360" w:left="2520"/>
      </w:pPr>
    </w:lvl>
    <w:lvl w:ilvl="4" w:tentative="1" w:tplc="08090019">
      <w:start w:val="1"/>
      <w:numFmt w:val="lowerLetter"/>
      <w:lvlText w:val="%5."/>
      <w:lvlJc w:val="left"/>
      <w:pPr>
        <w:ind w:hanging="360" w:left="3240"/>
      </w:pPr>
    </w:lvl>
    <w:lvl w:ilvl="5" w:tentative="1" w:tplc="0809001B">
      <w:start w:val="1"/>
      <w:numFmt w:val="lowerRoman"/>
      <w:lvlText w:val="%6."/>
      <w:lvlJc w:val="right"/>
      <w:pPr>
        <w:ind w:hanging="180" w:left="3960"/>
      </w:pPr>
    </w:lvl>
    <w:lvl w:ilvl="6" w:tentative="1" w:tplc="0809000F">
      <w:start w:val="1"/>
      <w:numFmt w:val="decimal"/>
      <w:lvlText w:val="%7."/>
      <w:lvlJc w:val="left"/>
      <w:pPr>
        <w:ind w:hanging="360" w:left="4680"/>
      </w:pPr>
    </w:lvl>
    <w:lvl w:ilvl="7" w:tentative="1" w:tplc="08090019">
      <w:start w:val="1"/>
      <w:numFmt w:val="lowerLetter"/>
      <w:lvlText w:val="%8."/>
      <w:lvlJc w:val="left"/>
      <w:pPr>
        <w:ind w:hanging="360" w:left="5400"/>
      </w:pPr>
    </w:lvl>
    <w:lvl w:ilvl="8" w:tentative="1" w:tplc="0809001B">
      <w:start w:val="1"/>
      <w:numFmt w:val="lowerRoman"/>
      <w:lvlText w:val="%9."/>
      <w:lvlJc w:val="right"/>
      <w:pPr>
        <w:ind w:hanging="180" w:left="6120"/>
      </w:pPr>
    </w:lvl>
  </w:abstractNum>
  <w:abstractNum w15:restartNumberingAfterBreak="0" w:abstractNumId="2">
    <w:nsid w:val="74471AFE"/>
    <w:multiLevelType w:val="hybridMultilevel"/>
    <w:tmpl w:val="93884DA6"/>
    <w:lvl w:ilvl="0" w:tplc="08090017">
      <w:start w:val="1"/>
      <w:numFmt w:val="lowerLetter"/>
      <w:lvlText w:val="%1)"/>
      <w:lvlJc w:val="left"/>
      <w:pPr>
        <w:ind w:hanging="360" w:left="473"/>
      </w:pPr>
      <w:rPr>
        <w:rFonts w:hint="default"/>
      </w:rPr>
    </w:lvl>
    <w:lvl w:ilvl="1" w:tentative="1" w:tplc="08090003">
      <w:start w:val="1"/>
      <w:numFmt w:val="bullet"/>
      <w:lvlText w:val="o"/>
      <w:lvlJc w:val="left"/>
      <w:pPr>
        <w:ind w:hanging="360" w:left="1193"/>
      </w:pPr>
      <w:rPr>
        <w:rFonts w:ascii="Courier New" w:cs="Courier New" w:hAnsi="Courier New" w:hint="default"/>
      </w:rPr>
    </w:lvl>
    <w:lvl w:ilvl="2" w:tentative="1" w:tplc="08090005">
      <w:start w:val="1"/>
      <w:numFmt w:val="bullet"/>
      <w:lvlText w:val=""/>
      <w:lvlJc w:val="left"/>
      <w:pPr>
        <w:ind w:hanging="360" w:left="1913"/>
      </w:pPr>
      <w:rPr>
        <w:rFonts w:ascii="Wingdings" w:hAnsi="Wingdings" w:hint="default"/>
      </w:rPr>
    </w:lvl>
    <w:lvl w:ilvl="3" w:tentative="1" w:tplc="08090001">
      <w:start w:val="1"/>
      <w:numFmt w:val="bullet"/>
      <w:lvlText w:val=""/>
      <w:lvlJc w:val="left"/>
      <w:pPr>
        <w:ind w:hanging="360" w:left="2633"/>
      </w:pPr>
      <w:rPr>
        <w:rFonts w:ascii="Symbol" w:hAnsi="Symbol" w:hint="default"/>
      </w:rPr>
    </w:lvl>
    <w:lvl w:ilvl="4" w:tentative="1" w:tplc="08090003">
      <w:start w:val="1"/>
      <w:numFmt w:val="bullet"/>
      <w:lvlText w:val="o"/>
      <w:lvlJc w:val="left"/>
      <w:pPr>
        <w:ind w:hanging="360" w:left="3353"/>
      </w:pPr>
      <w:rPr>
        <w:rFonts w:ascii="Courier New" w:cs="Courier New" w:hAnsi="Courier New" w:hint="default"/>
      </w:rPr>
    </w:lvl>
    <w:lvl w:ilvl="5" w:tentative="1" w:tplc="08090005">
      <w:start w:val="1"/>
      <w:numFmt w:val="bullet"/>
      <w:lvlText w:val=""/>
      <w:lvlJc w:val="left"/>
      <w:pPr>
        <w:ind w:hanging="360" w:left="4073"/>
      </w:pPr>
      <w:rPr>
        <w:rFonts w:ascii="Wingdings" w:hAnsi="Wingdings" w:hint="default"/>
      </w:rPr>
    </w:lvl>
    <w:lvl w:ilvl="6" w:tentative="1" w:tplc="08090001">
      <w:start w:val="1"/>
      <w:numFmt w:val="bullet"/>
      <w:lvlText w:val=""/>
      <w:lvlJc w:val="left"/>
      <w:pPr>
        <w:ind w:hanging="360" w:left="4793"/>
      </w:pPr>
      <w:rPr>
        <w:rFonts w:ascii="Symbol" w:hAnsi="Symbol" w:hint="default"/>
      </w:rPr>
    </w:lvl>
    <w:lvl w:ilvl="7" w:tentative="1" w:tplc="08090003">
      <w:start w:val="1"/>
      <w:numFmt w:val="bullet"/>
      <w:lvlText w:val="o"/>
      <w:lvlJc w:val="left"/>
      <w:pPr>
        <w:ind w:hanging="360" w:left="5513"/>
      </w:pPr>
      <w:rPr>
        <w:rFonts w:ascii="Courier New" w:cs="Courier New" w:hAnsi="Courier New" w:hint="default"/>
      </w:rPr>
    </w:lvl>
    <w:lvl w:ilvl="8" w:tentative="1" w:tplc="08090005">
      <w:start w:val="1"/>
      <w:numFmt w:val="bullet"/>
      <w:lvlText w:val=""/>
      <w:lvlJc w:val="left"/>
      <w:pPr>
        <w:ind w:hanging="360" w:left="6233"/>
      </w:pPr>
      <w:rPr>
        <w:rFonts w:ascii="Wingdings" w:hAnsi="Wingdings" w:hint="default"/>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removePersonalInformation/>
  <w:removeDateAndTime/>
  <w:documentProtection w:enforcement="1" w:edit="readOnly" w:salt="FyB0lbqOWxMcKY4/TA9RnQ==" w:hash="eduxE89aEpfyFADqKGoxHGgO8Uk=" w:cryptSpinCount="100000" w:cryptAlgorithmType="typeAny" w:cryptAlgorithmClass="hash" w:cryptProviderType="rsaFull" w:cryptAlgorithmSid="4"/>
  <w:defaultTabStop w:val="720"/>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60"/>
    <w:rsid w:val="000113BF"/>
    <w:rsid w:val="00012B21"/>
    <w:rsid w:val="00025515"/>
    <w:rsid w:val="000260A2"/>
    <w:rsid w:val="0002778D"/>
    <w:rsid w:val="00027F4D"/>
    <w:rsid w:val="00034E46"/>
    <w:rsid w:val="000354C1"/>
    <w:rsid w:val="00053FC4"/>
    <w:rsid w:val="0005410F"/>
    <w:rsid w:val="00054F39"/>
    <w:rsid w:val="000631F7"/>
    <w:rsid w:val="000809A7"/>
    <w:rsid w:val="00082602"/>
    <w:rsid w:val="000832D2"/>
    <w:rsid w:val="00084A9D"/>
    <w:rsid w:val="00086FAC"/>
    <w:rsid w:val="00087AE6"/>
    <w:rsid w:val="000A3373"/>
    <w:rsid w:val="000A7141"/>
    <w:rsid w:val="000A7676"/>
    <w:rsid w:val="000B07F3"/>
    <w:rsid w:val="000B112E"/>
    <w:rsid w:val="000B62E9"/>
    <w:rsid w:val="000C116D"/>
    <w:rsid w:val="000C4382"/>
    <w:rsid w:val="000C4905"/>
    <w:rsid w:val="000C4B70"/>
    <w:rsid w:val="000C5A38"/>
    <w:rsid w:val="000D5E6F"/>
    <w:rsid w:val="000E3766"/>
    <w:rsid w:val="000E6B2B"/>
    <w:rsid w:val="000F2860"/>
    <w:rsid w:val="000F4B41"/>
    <w:rsid w:val="000F75C8"/>
    <w:rsid w:val="00101CE2"/>
    <w:rsid w:val="001108B7"/>
    <w:rsid w:val="00112088"/>
    <w:rsid w:val="00113C83"/>
    <w:rsid w:val="00114F23"/>
    <w:rsid w:val="001279D8"/>
    <w:rsid w:val="0013166D"/>
    <w:rsid w:val="00131D17"/>
    <w:rsid w:val="00136AD4"/>
    <w:rsid w:val="00137F72"/>
    <w:rsid w:val="001406A3"/>
    <w:rsid w:val="00150FB2"/>
    <w:rsid w:val="00151E51"/>
    <w:rsid w:val="0018208C"/>
    <w:rsid w:val="0018280C"/>
    <w:rsid w:val="00183D92"/>
    <w:rsid w:val="0019762F"/>
    <w:rsid w:val="001A3DC3"/>
    <w:rsid w:val="001A5F5E"/>
    <w:rsid w:val="001A686D"/>
    <w:rsid w:val="001B0513"/>
    <w:rsid w:val="001B715F"/>
    <w:rsid w:val="001E0C6D"/>
    <w:rsid w:val="001E30E7"/>
    <w:rsid w:val="001F5E72"/>
    <w:rsid w:val="001F5EB1"/>
    <w:rsid w:val="0020115A"/>
    <w:rsid w:val="002011BD"/>
    <w:rsid w:val="0020360A"/>
    <w:rsid w:val="002040AA"/>
    <w:rsid w:val="00206781"/>
    <w:rsid w:val="002103C4"/>
    <w:rsid w:val="00211767"/>
    <w:rsid w:val="00211B82"/>
    <w:rsid w:val="00225F87"/>
    <w:rsid w:val="00234C77"/>
    <w:rsid w:val="00240B15"/>
    <w:rsid w:val="00242468"/>
    <w:rsid w:val="00250199"/>
    <w:rsid w:val="00250214"/>
    <w:rsid w:val="00251DEF"/>
    <w:rsid w:val="00253D49"/>
    <w:rsid w:val="0026012C"/>
    <w:rsid w:val="0026043A"/>
    <w:rsid w:val="00274044"/>
    <w:rsid w:val="00275274"/>
    <w:rsid w:val="00281517"/>
    <w:rsid w:val="00293A1D"/>
    <w:rsid w:val="002A0EA4"/>
    <w:rsid w:val="002A5919"/>
    <w:rsid w:val="002A6691"/>
    <w:rsid w:val="002B2CF2"/>
    <w:rsid w:val="002B49F3"/>
    <w:rsid w:val="002B7C68"/>
    <w:rsid w:val="002C2126"/>
    <w:rsid w:val="002C31DC"/>
    <w:rsid w:val="002D614D"/>
    <w:rsid w:val="002E2FFD"/>
    <w:rsid w:val="002F32A4"/>
    <w:rsid w:val="00300013"/>
    <w:rsid w:val="00301882"/>
    <w:rsid w:val="00302030"/>
    <w:rsid w:val="00310E2D"/>
    <w:rsid w:val="00315323"/>
    <w:rsid w:val="00320534"/>
    <w:rsid w:val="00322E46"/>
    <w:rsid w:val="003239FA"/>
    <w:rsid w:val="00326916"/>
    <w:rsid w:val="00327C43"/>
    <w:rsid w:val="00330DCA"/>
    <w:rsid w:val="00331949"/>
    <w:rsid w:val="0033370C"/>
    <w:rsid w:val="00343657"/>
    <w:rsid w:val="00345B1A"/>
    <w:rsid w:val="00352386"/>
    <w:rsid w:val="00352B60"/>
    <w:rsid w:val="0036557C"/>
    <w:rsid w:val="003655CE"/>
    <w:rsid w:val="0037183C"/>
    <w:rsid w:val="00381385"/>
    <w:rsid w:val="00393F18"/>
    <w:rsid w:val="003B6698"/>
    <w:rsid w:val="003B7434"/>
    <w:rsid w:val="003C362F"/>
    <w:rsid w:val="003C4FB2"/>
    <w:rsid w:val="003C51D3"/>
    <w:rsid w:val="003C7E88"/>
    <w:rsid w:val="003D1413"/>
    <w:rsid w:val="003D308C"/>
    <w:rsid w:val="003D4D07"/>
    <w:rsid w:val="003E02CC"/>
    <w:rsid w:val="003E0CDE"/>
    <w:rsid w:val="003F2880"/>
    <w:rsid w:val="0040102B"/>
    <w:rsid w:val="0040170C"/>
    <w:rsid w:val="00416A7B"/>
    <w:rsid w:val="004171A3"/>
    <w:rsid w:val="00444421"/>
    <w:rsid w:val="00454DB7"/>
    <w:rsid w:val="00462537"/>
    <w:rsid w:val="004629A1"/>
    <w:rsid w:val="00482C8D"/>
    <w:rsid w:val="00491DF7"/>
    <w:rsid w:val="004950A2"/>
    <w:rsid w:val="0049608D"/>
    <w:rsid w:val="004A08CF"/>
    <w:rsid w:val="004A4B66"/>
    <w:rsid w:val="004B248C"/>
    <w:rsid w:val="004B31A7"/>
    <w:rsid w:val="004B398B"/>
    <w:rsid w:val="004D0718"/>
    <w:rsid w:val="004D110B"/>
    <w:rsid w:val="004D2F3C"/>
    <w:rsid w:val="004D54B0"/>
    <w:rsid w:val="004E1153"/>
    <w:rsid w:val="004E2095"/>
    <w:rsid w:val="004E5060"/>
    <w:rsid w:val="004E58C0"/>
    <w:rsid w:val="004E649A"/>
    <w:rsid w:val="00500527"/>
    <w:rsid w:val="00507998"/>
    <w:rsid w:val="005142B2"/>
    <w:rsid w:val="00514A7B"/>
    <w:rsid w:val="00514B03"/>
    <w:rsid w:val="00526E24"/>
    <w:rsid w:val="00530BD2"/>
    <w:rsid w:val="0054599F"/>
    <w:rsid w:val="00547505"/>
    <w:rsid w:val="005533CC"/>
    <w:rsid w:val="00572D2D"/>
    <w:rsid w:val="005951AF"/>
    <w:rsid w:val="00597532"/>
    <w:rsid w:val="00597DD7"/>
    <w:rsid w:val="005A7064"/>
    <w:rsid w:val="005A76C6"/>
    <w:rsid w:val="005B5667"/>
    <w:rsid w:val="005B6AE4"/>
    <w:rsid w:val="005C251A"/>
    <w:rsid w:val="005C32CB"/>
    <w:rsid w:val="005D10E5"/>
    <w:rsid w:val="005D1F4A"/>
    <w:rsid w:val="005D4FB5"/>
    <w:rsid w:val="005D5B5A"/>
    <w:rsid w:val="005E3EAD"/>
    <w:rsid w:val="005E52DC"/>
    <w:rsid w:val="005E6BC3"/>
    <w:rsid w:val="005F5091"/>
    <w:rsid w:val="005F6847"/>
    <w:rsid w:val="0060197A"/>
    <w:rsid w:val="00605057"/>
    <w:rsid w:val="0061142E"/>
    <w:rsid w:val="00617380"/>
    <w:rsid w:val="00625939"/>
    <w:rsid w:val="00630816"/>
    <w:rsid w:val="00640E37"/>
    <w:rsid w:val="00642E35"/>
    <w:rsid w:val="00650AD1"/>
    <w:rsid w:val="006530A0"/>
    <w:rsid w:val="00662D69"/>
    <w:rsid w:val="00665206"/>
    <w:rsid w:val="00685259"/>
    <w:rsid w:val="00693CEA"/>
    <w:rsid w:val="006B06C4"/>
    <w:rsid w:val="006D4CFE"/>
    <w:rsid w:val="006D5EDD"/>
    <w:rsid w:val="006D6393"/>
    <w:rsid w:val="006D6621"/>
    <w:rsid w:val="006D7947"/>
    <w:rsid w:val="006E487D"/>
    <w:rsid w:val="006E7A35"/>
    <w:rsid w:val="006F3248"/>
    <w:rsid w:val="006F5AFB"/>
    <w:rsid w:val="006F6D28"/>
    <w:rsid w:val="00701BF7"/>
    <w:rsid w:val="007038E6"/>
    <w:rsid w:val="00705BBB"/>
    <w:rsid w:val="00706ABB"/>
    <w:rsid w:val="0070744C"/>
    <w:rsid w:val="00712C37"/>
    <w:rsid w:val="0074479D"/>
    <w:rsid w:val="0076431D"/>
    <w:rsid w:val="007752E1"/>
    <w:rsid w:val="00791578"/>
    <w:rsid w:val="0079517F"/>
    <w:rsid w:val="00796FA7"/>
    <w:rsid w:val="007B409B"/>
    <w:rsid w:val="007B7FD1"/>
    <w:rsid w:val="007C468B"/>
    <w:rsid w:val="007C5003"/>
    <w:rsid w:val="007C7002"/>
    <w:rsid w:val="007C7537"/>
    <w:rsid w:val="007E1570"/>
    <w:rsid w:val="007E1A22"/>
    <w:rsid w:val="00801918"/>
    <w:rsid w:val="00802B58"/>
    <w:rsid w:val="00811829"/>
    <w:rsid w:val="00816707"/>
    <w:rsid w:val="008211E3"/>
    <w:rsid w:val="00827137"/>
    <w:rsid w:val="008316F5"/>
    <w:rsid w:val="00832CC2"/>
    <w:rsid w:val="008366EB"/>
    <w:rsid w:val="00841369"/>
    <w:rsid w:val="0086003A"/>
    <w:rsid w:val="008607F6"/>
    <w:rsid w:val="00870A9C"/>
    <w:rsid w:val="008711C3"/>
    <w:rsid w:val="00875A06"/>
    <w:rsid w:val="0087641F"/>
    <w:rsid w:val="00876A81"/>
    <w:rsid w:val="0088073E"/>
    <w:rsid w:val="00893ED9"/>
    <w:rsid w:val="0089779F"/>
    <w:rsid w:val="008A130B"/>
    <w:rsid w:val="008A3E89"/>
    <w:rsid w:val="008B0872"/>
    <w:rsid w:val="008B2B9A"/>
    <w:rsid w:val="008B6394"/>
    <w:rsid w:val="008C0647"/>
    <w:rsid w:val="008E5F4D"/>
    <w:rsid w:val="008F0B5A"/>
    <w:rsid w:val="00900634"/>
    <w:rsid w:val="00907A7D"/>
    <w:rsid w:val="009123D2"/>
    <w:rsid w:val="00912455"/>
    <w:rsid w:val="009244AE"/>
    <w:rsid w:val="00924DF9"/>
    <w:rsid w:val="00927B0E"/>
    <w:rsid w:val="00933468"/>
    <w:rsid w:val="00946550"/>
    <w:rsid w:val="0094724E"/>
    <w:rsid w:val="00950F3B"/>
    <w:rsid w:val="009522E9"/>
    <w:rsid w:val="00961318"/>
    <w:rsid w:val="0097177E"/>
    <w:rsid w:val="00987C3C"/>
    <w:rsid w:val="009A6BA9"/>
    <w:rsid w:val="009A7994"/>
    <w:rsid w:val="009B21B1"/>
    <w:rsid w:val="009B486C"/>
    <w:rsid w:val="009B50DB"/>
    <w:rsid w:val="009B617A"/>
    <w:rsid w:val="009C0B54"/>
    <w:rsid w:val="009D388D"/>
    <w:rsid w:val="009D499B"/>
    <w:rsid w:val="009D6F65"/>
    <w:rsid w:val="009E5213"/>
    <w:rsid w:val="00A022CE"/>
    <w:rsid w:val="00A078D4"/>
    <w:rsid w:val="00A15062"/>
    <w:rsid w:val="00A15456"/>
    <w:rsid w:val="00A2005A"/>
    <w:rsid w:val="00A225C0"/>
    <w:rsid w:val="00A30AE5"/>
    <w:rsid w:val="00A33AA4"/>
    <w:rsid w:val="00A42C80"/>
    <w:rsid w:val="00A44255"/>
    <w:rsid w:val="00A52058"/>
    <w:rsid w:val="00A56398"/>
    <w:rsid w:val="00A571D5"/>
    <w:rsid w:val="00A579A5"/>
    <w:rsid w:val="00A659C2"/>
    <w:rsid w:val="00A66273"/>
    <w:rsid w:val="00A71855"/>
    <w:rsid w:val="00A877EE"/>
    <w:rsid w:val="00A90FA2"/>
    <w:rsid w:val="00A91352"/>
    <w:rsid w:val="00A91FDB"/>
    <w:rsid w:val="00AA054E"/>
    <w:rsid w:val="00AA5712"/>
    <w:rsid w:val="00AB2D5F"/>
    <w:rsid w:val="00AB36AE"/>
    <w:rsid w:val="00AC12CF"/>
    <w:rsid w:val="00AC1B86"/>
    <w:rsid w:val="00AD0573"/>
    <w:rsid w:val="00AD502F"/>
    <w:rsid w:val="00AD78A7"/>
    <w:rsid w:val="00AE22E8"/>
    <w:rsid w:val="00AE607C"/>
    <w:rsid w:val="00AF0CA4"/>
    <w:rsid w:val="00AF236A"/>
    <w:rsid w:val="00AF7769"/>
    <w:rsid w:val="00AF7E54"/>
    <w:rsid w:val="00B04B22"/>
    <w:rsid w:val="00B14588"/>
    <w:rsid w:val="00B20F74"/>
    <w:rsid w:val="00B21388"/>
    <w:rsid w:val="00B21FD8"/>
    <w:rsid w:val="00B23A85"/>
    <w:rsid w:val="00B30A40"/>
    <w:rsid w:val="00B41FB2"/>
    <w:rsid w:val="00B42F50"/>
    <w:rsid w:val="00B52033"/>
    <w:rsid w:val="00B548A2"/>
    <w:rsid w:val="00B96929"/>
    <w:rsid w:val="00B96B89"/>
    <w:rsid w:val="00BC26B8"/>
    <w:rsid w:val="00BC6364"/>
    <w:rsid w:val="00BD32D3"/>
    <w:rsid w:val="00BD647E"/>
    <w:rsid w:val="00BE2E80"/>
    <w:rsid w:val="00BF2AA0"/>
    <w:rsid w:val="00BF4E76"/>
    <w:rsid w:val="00BF6711"/>
    <w:rsid w:val="00C03F13"/>
    <w:rsid w:val="00C07328"/>
    <w:rsid w:val="00C11AF2"/>
    <w:rsid w:val="00C12C1A"/>
    <w:rsid w:val="00C22FA6"/>
    <w:rsid w:val="00C26425"/>
    <w:rsid w:val="00C30886"/>
    <w:rsid w:val="00C41BDB"/>
    <w:rsid w:val="00C44436"/>
    <w:rsid w:val="00C506AA"/>
    <w:rsid w:val="00C52828"/>
    <w:rsid w:val="00C72F0D"/>
    <w:rsid w:val="00C7427B"/>
    <w:rsid w:val="00C747E3"/>
    <w:rsid w:val="00C80F64"/>
    <w:rsid w:val="00C83F62"/>
    <w:rsid w:val="00C8563A"/>
    <w:rsid w:val="00C873BE"/>
    <w:rsid w:val="00C91945"/>
    <w:rsid w:val="00C9327E"/>
    <w:rsid w:val="00CA47A9"/>
    <w:rsid w:val="00CA70A8"/>
    <w:rsid w:val="00CB17EA"/>
    <w:rsid w:val="00CB18FA"/>
    <w:rsid w:val="00CB1ECD"/>
    <w:rsid w:val="00CB3AAF"/>
    <w:rsid w:val="00CB595A"/>
    <w:rsid w:val="00CB6370"/>
    <w:rsid w:val="00CC2DEA"/>
    <w:rsid w:val="00CC34A7"/>
    <w:rsid w:val="00CC456A"/>
    <w:rsid w:val="00CD3869"/>
    <w:rsid w:val="00CE5E8D"/>
    <w:rsid w:val="00CE6902"/>
    <w:rsid w:val="00CE7E27"/>
    <w:rsid w:val="00D02ED0"/>
    <w:rsid w:val="00D03C12"/>
    <w:rsid w:val="00D1418D"/>
    <w:rsid w:val="00D15BEF"/>
    <w:rsid w:val="00D20338"/>
    <w:rsid w:val="00D2611D"/>
    <w:rsid w:val="00D27D7F"/>
    <w:rsid w:val="00D31A68"/>
    <w:rsid w:val="00D329F7"/>
    <w:rsid w:val="00D403B6"/>
    <w:rsid w:val="00D405AC"/>
    <w:rsid w:val="00D42BDA"/>
    <w:rsid w:val="00D51F72"/>
    <w:rsid w:val="00D714FE"/>
    <w:rsid w:val="00D760B4"/>
    <w:rsid w:val="00D805A0"/>
    <w:rsid w:val="00D83623"/>
    <w:rsid w:val="00D8785D"/>
    <w:rsid w:val="00D9061D"/>
    <w:rsid w:val="00DA1E2E"/>
    <w:rsid w:val="00DA2C01"/>
    <w:rsid w:val="00DA5BB0"/>
    <w:rsid w:val="00DA5E5D"/>
    <w:rsid w:val="00DB2DC6"/>
    <w:rsid w:val="00DC0C1A"/>
    <w:rsid w:val="00DC7DF8"/>
    <w:rsid w:val="00DD6FA8"/>
    <w:rsid w:val="00DF3C26"/>
    <w:rsid w:val="00E035B3"/>
    <w:rsid w:val="00E12EEF"/>
    <w:rsid w:val="00E13F52"/>
    <w:rsid w:val="00E272A5"/>
    <w:rsid w:val="00E27E09"/>
    <w:rsid w:val="00E32B6D"/>
    <w:rsid w:val="00E37589"/>
    <w:rsid w:val="00E46FF6"/>
    <w:rsid w:val="00E5024E"/>
    <w:rsid w:val="00E515B7"/>
    <w:rsid w:val="00E61275"/>
    <w:rsid w:val="00E61441"/>
    <w:rsid w:val="00E6164F"/>
    <w:rsid w:val="00E658FD"/>
    <w:rsid w:val="00E677E4"/>
    <w:rsid w:val="00E73451"/>
    <w:rsid w:val="00E81DA7"/>
    <w:rsid w:val="00E8478C"/>
    <w:rsid w:val="00E90E36"/>
    <w:rsid w:val="00E923E9"/>
    <w:rsid w:val="00E925ED"/>
    <w:rsid w:val="00E94CDB"/>
    <w:rsid w:val="00E97115"/>
    <w:rsid w:val="00EB0CF9"/>
    <w:rsid w:val="00EB5D94"/>
    <w:rsid w:val="00EB61FF"/>
    <w:rsid w:val="00ED578B"/>
    <w:rsid w:val="00EE47ED"/>
    <w:rsid w:val="00EE4E18"/>
    <w:rsid w:val="00EF34CA"/>
    <w:rsid w:val="00EF48B5"/>
    <w:rsid w:val="00EF67CD"/>
    <w:rsid w:val="00F102E8"/>
    <w:rsid w:val="00F154EC"/>
    <w:rsid w:val="00F178C7"/>
    <w:rsid w:val="00F17C41"/>
    <w:rsid w:val="00F27E39"/>
    <w:rsid w:val="00F30DFB"/>
    <w:rsid w:val="00F37565"/>
    <w:rsid w:val="00F418EC"/>
    <w:rsid w:val="00F51FEF"/>
    <w:rsid w:val="00F53A95"/>
    <w:rsid w:val="00F57728"/>
    <w:rsid w:val="00F60C89"/>
    <w:rsid w:val="00F60D71"/>
    <w:rsid w:val="00F647A2"/>
    <w:rsid w:val="00F80632"/>
    <w:rsid w:val="00F82123"/>
    <w:rsid w:val="00F92609"/>
    <w:rsid w:val="00FA3869"/>
    <w:rsid w:val="00FA5D13"/>
    <w:rsid w:val="00FA68C4"/>
    <w:rsid w:val="00FC1A78"/>
    <w:rsid w:val="00FC63CA"/>
    <w:rsid w:val="00FD13F3"/>
    <w:rsid w:val="00FD7A8E"/>
    <w:rsid w:val="00FE35C9"/>
    <w:rsid w:val="00FE725F"/>
  </w:rsids>
  <m:mathPr>
    <m:mathFont m:val="Cambria Math"/>
    <m:brkBin m:val="before"/>
    <m:brkBinSub m:val="--"/>
    <m:smallFrac m:val="0"/>
    <m:dispDef/>
    <m:lMargin m:val="0"/>
    <m:rMargin m:val="0"/>
    <m:defJc m:val="centerGroup"/>
    <m:wrapIndent m:val="1440"/>
    <m:intLim m:val="subSup"/>
    <m:naryLim m:val="undOvr"/>
  </m:mathPr>
  <w:themeFontLang w:val="en-GB"/>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Times New Roman" w:eastAsia="Calibri" w:hAnsi="Calibri"/>
        <w:lang w:bidi="ar-SA" w:eastAsia="en-GB" w:val="en-GB"/>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pPr>
      <w:spacing w:after="200" w:line="276" w:lineRule="auto"/>
    </w:pPr>
    <w:rPr>
      <w:sz w:val="22"/>
      <w:szCs w:val="22"/>
      <w:lang w:eastAsia="en-U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TableGrid" w:type="table">
    <w:name w:val="TableGrid"/>
    <w:rsid w:val="002B2CF2"/>
    <w:rPr>
      <w:rFonts w:asciiTheme="minorHAnsi" w:cstheme="minorBidi" w:eastAsiaTheme="minorEastAsia" w:hAnsiTheme="minorHAnsi"/>
      <w:sz w:val="22"/>
      <w:szCs w:val="22"/>
      <w:lang w:eastAsia="en-US" w:val="en-US"/>
    </w:rPr>
    <w:tblPr>
      <w:tblCellMar>
        <w:top w:type="dxa" w:w="0"/>
        <w:left w:type="dxa" w:w="0"/>
        <w:bottom w:type="dxa" w:w="0"/>
        <w:right w:type="dxa" w:w="0"/>
      </w:tblCellMar>
    </w:tblPr>
  </w:style>
  <w:style w:styleId="BalloonText" w:type="paragraph">
    <w:name w:val="Balloon Text"/>
    <w:basedOn w:val="Normal"/>
    <w:link w:val="BalloonTextChar"/>
    <w:uiPriority w:val="99"/>
    <w:semiHidden/>
    <w:unhideWhenUsed/>
    <w:rsid w:val="002B2CF2"/>
    <w:pPr>
      <w:spacing w:after="0" w:line="240" w:lineRule="auto"/>
    </w:pPr>
    <w:rPr>
      <w:rFonts w:ascii="Tahoma" w:cs="Tahoma" w:hAnsi="Tahoma"/>
      <w:sz w:val="16"/>
      <w:szCs w:val="16"/>
    </w:rPr>
  </w:style>
  <w:style w:customStyle="1" w:styleId="BalloonTextChar" w:type="character">
    <w:name w:val="Balloon Text Char"/>
    <w:basedOn w:val="DefaultParagraphFont"/>
    <w:link w:val="BalloonText"/>
    <w:uiPriority w:val="99"/>
    <w:semiHidden/>
    <w:rsid w:val="002B2CF2"/>
    <w:rPr>
      <w:rFonts w:ascii="Tahoma" w:cs="Tahoma" w:hAnsi="Tahoma"/>
      <w:sz w:val="16"/>
      <w:szCs w:val="16"/>
      <w:lang w:eastAsia="en-US"/>
    </w:rPr>
  </w:style>
  <w:style w:styleId="CommentReference" w:type="character">
    <w:name w:val="annotation reference"/>
    <w:basedOn w:val="DefaultParagraphFont"/>
    <w:uiPriority w:val="99"/>
    <w:semiHidden/>
    <w:unhideWhenUsed/>
    <w:rsid w:val="009E5213"/>
    <w:rPr>
      <w:sz w:val="16"/>
      <w:szCs w:val="16"/>
    </w:rPr>
  </w:style>
  <w:style w:styleId="ListParagraph" w:type="paragraph">
    <w:name w:val="List Paragraph"/>
    <w:basedOn w:val="Normal"/>
    <w:uiPriority w:val="34"/>
    <w:qFormat/>
    <w:rsid w:val="000C4B70"/>
    <w:pPr>
      <w:spacing w:after="160" w:line="259" w:lineRule="auto"/>
      <w:ind w:left="720"/>
      <w:contextualSpacing/>
    </w:pPr>
    <w:rPr>
      <w:rFonts w:cs="Calibri"/>
      <w:color w:val="000000"/>
      <w:lang w:val="en-US"/>
    </w:rPr>
  </w:style>
  <w:style w:styleId="Footer" w:type="paragraph">
    <w:name w:val="footer"/>
    <w:basedOn w:val="Normal"/>
    <w:link w:val="FooterChar"/>
    <w:uiPriority w:val="99"/>
    <w:unhideWhenUsed/>
    <w:rsid w:val="00B96929"/>
    <w:pPr>
      <w:tabs>
        <w:tab w:pos="4536" w:val="center"/>
        <w:tab w:pos="9072" w:val="right"/>
      </w:tabs>
      <w:spacing w:after="0" w:line="240" w:lineRule="auto"/>
    </w:pPr>
    <w:rPr>
      <w:rFonts w:cs="Calibri"/>
      <w:color w:val="000000"/>
      <w:lang w:val="en-US"/>
    </w:rPr>
  </w:style>
  <w:style w:customStyle="1" w:styleId="FooterChar" w:type="character">
    <w:name w:val="Footer Char"/>
    <w:basedOn w:val="DefaultParagraphFont"/>
    <w:link w:val="Footer"/>
    <w:uiPriority w:val="99"/>
    <w:rsid w:val="00B96929"/>
    <w:rPr>
      <w:rFonts w:cs="Calibri"/>
      <w:color w:val="000000"/>
      <w:sz w:val="22"/>
      <w:szCs w:val="22"/>
      <w:lang w:eastAsia="en-US" w:val="en-US"/>
    </w:rPr>
  </w:style>
  <w:style w:styleId="Header" w:type="paragraph">
    <w:name w:val="header"/>
    <w:basedOn w:val="Normal"/>
    <w:link w:val="HeaderChar"/>
    <w:uiPriority w:val="99"/>
    <w:unhideWhenUsed/>
    <w:rsid w:val="005E6BC3"/>
    <w:pPr>
      <w:tabs>
        <w:tab w:pos="4513" w:val="center"/>
        <w:tab w:pos="9026" w:val="right"/>
      </w:tabs>
      <w:spacing w:after="0" w:line="240" w:lineRule="auto"/>
    </w:pPr>
  </w:style>
  <w:style w:customStyle="1" w:styleId="HeaderChar" w:type="character">
    <w:name w:val="Header Char"/>
    <w:basedOn w:val="DefaultParagraphFont"/>
    <w:link w:val="Header"/>
    <w:uiPriority w:val="99"/>
    <w:rsid w:val="005E6BC3"/>
    <w:rPr>
      <w:sz w:val="22"/>
      <w:szCs w:val="22"/>
      <w:lang w:eastAsia="en-US"/>
    </w:rPr>
  </w:style>
  <w:style w:styleId="Hyperlink" w:type="character">
    <w:name w:val="Hyperlink"/>
    <w:basedOn w:val="DefaultParagraphFont"/>
    <w:uiPriority w:val="99"/>
    <w:unhideWhenUsed/>
    <w:rsid w:val="00597532"/>
    <w:rPr>
      <w:color w:themeColor="hyperlink" w:val="0000FF"/>
      <w:u w:val="single"/>
    </w:rPr>
  </w:style>
  <w:style w:styleId="TableGrid0" w:type="table">
    <w:name w:val="Table Grid"/>
    <w:basedOn w:val="TableNormal"/>
    <w:uiPriority w:val="59"/>
    <w:rsid w:val="00150FB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TMLPreformatted" w:type="paragraph">
    <w:name w:val="HTML Preformatted"/>
    <w:basedOn w:val="Normal"/>
    <w:link w:val="HTMLPreformattedChar"/>
    <w:uiPriority w:val="99"/>
    <w:unhideWhenUsed/>
    <w:rsid w:val="00F60C89"/>
    <w:pPr>
      <w:tabs>
        <w:tab w:pos="916" w:val="left"/>
        <w:tab w:pos="1832" w:val="left"/>
        <w:tab w:pos="2748" w:val="left"/>
        <w:tab w:pos="3664" w:val="left"/>
        <w:tab w:pos="4580" w:val="left"/>
        <w:tab w:pos="5496" w:val="left"/>
        <w:tab w:pos="6412" w:val="left"/>
        <w:tab w:pos="7328" w:val="left"/>
        <w:tab w:pos="8244" w:val="left"/>
        <w:tab w:pos="9160" w:val="left"/>
        <w:tab w:pos="10076" w:val="left"/>
        <w:tab w:pos="10992" w:val="left"/>
        <w:tab w:pos="11908" w:val="left"/>
        <w:tab w:pos="12824" w:val="left"/>
        <w:tab w:pos="13740" w:val="left"/>
        <w:tab w:pos="14656" w:val="left"/>
      </w:tabs>
      <w:spacing w:after="0" w:line="240" w:lineRule="auto"/>
    </w:pPr>
    <w:rPr>
      <w:rFonts w:ascii="Courier New" w:cs="Courier New" w:eastAsia="Times New Roman" w:hAnsi="Courier New"/>
      <w:sz w:val="20"/>
      <w:szCs w:val="20"/>
      <w:lang w:eastAsia="en-GB"/>
    </w:rPr>
  </w:style>
  <w:style w:customStyle="1" w:styleId="HTMLPreformattedChar" w:type="character">
    <w:name w:val="HTML Preformatted Char"/>
    <w:basedOn w:val="DefaultParagraphFont"/>
    <w:link w:val="HTMLPreformatted"/>
    <w:uiPriority w:val="99"/>
    <w:rsid w:val="00F60C89"/>
    <w:rPr>
      <w:rFonts w:ascii="Courier New" w:cs="Courier New" w:eastAsia="Times New Roman" w:hAnsi="Courier New"/>
    </w:rPr>
  </w:style>
  <w:style w:styleId="CommentText" w:type="paragraph">
    <w:name w:val="annotation text"/>
    <w:basedOn w:val="Normal"/>
    <w:link w:val="CommentTextChar"/>
    <w:uiPriority w:val="99"/>
    <w:semiHidden/>
    <w:unhideWhenUsed/>
    <w:rsid w:val="00462537"/>
    <w:pPr>
      <w:spacing w:line="240" w:lineRule="auto"/>
    </w:pPr>
    <w:rPr>
      <w:rFonts w:asciiTheme="minorHAnsi" w:cstheme="minorBidi" w:eastAsiaTheme="minorHAnsi" w:hAnsiTheme="minorHAnsi"/>
      <w:sz w:val="20"/>
      <w:szCs w:val="20"/>
    </w:rPr>
  </w:style>
  <w:style w:customStyle="1" w:styleId="CommentTextChar" w:type="character">
    <w:name w:val="Comment Text Char"/>
    <w:basedOn w:val="DefaultParagraphFont"/>
    <w:link w:val="CommentText"/>
    <w:uiPriority w:val="99"/>
    <w:semiHidden/>
    <w:rsid w:val="00462537"/>
    <w:rPr>
      <w:rFonts w:asciiTheme="minorHAnsi" w:cstheme="minorBidi" w:eastAsiaTheme="minorHAnsi" w:hAnsiTheme="minorHAnsi"/>
      <w:lang w:eastAsia="en-US"/>
    </w:rPr>
  </w:style>
  <w:style w:styleId="XDocReport_Heading_1" w:type="paragraph">
    <w:name w:val="heading 1"/>
    <w:uiPriority w:val="9"/>
    <w:rsid w:val="00285B63"/>
    <w:pPr>
      <w:keepNext/>
      <w:keepLines/>
      <w:spacing w:after="0" w:before="480"/>
      <w:outlineLvl w:val="0"/>
    </w:pPr>
    <w:rPr>
      <w:rFonts w:asciiTheme="majorHAnsi" w:cstheme="majorBidi" w:eastAsiaTheme="majorEastAsia" w:hAnsiTheme="majorHAnsi"/>
      <w:b/>
      <w:bCs/>
      <w:color w:themeColor="accent1" w:themeShade="BF" w:val="365F91"/>
      <w:sz w:val="28"/>
      <w:szCs w:val="28"/>
    </w:rPr>
  </w:style>
  <w:style w:styleId="XDocReport_Heading_2" w:type="paragraph">
    <w:name w:val="heading 2"/>
    <!-- <w:basedOn w:val="Normal" /> <w:next w:val="Normal" /> <w:link w:val="Titre2Car" /> -->
    <w:uiPriority w:val="9"/>
    <w:unhideWhenUsed/>
    <w:rsid w:val="00285B63"/>
    <w:pPr>
      <w:keepNext/>
      <w:keepLines/>
      <w:spacing w:after="0" w:before="200"/>
      <w:outlineLvl w:val="1"/>
    </w:pPr>
    <w:rPr>
      <w:rFonts w:asciiTheme="majorHAnsi" w:cstheme="majorBidi" w:eastAsiaTheme="majorEastAsia" w:hAnsiTheme="majorHAnsi"/>
      <w:b/>
      <w:bCs/>
      <w:color w:themeColor="accent1" w:val="4F81BD"/>
      <w:sz w:val="26"/>
      <w:szCs w:val="26"/>
    </w:rPr>
  </w:style>
  <w:style w:styleId="XDocReport_Heading_3" w:type="paragraph">
    <w:name w:val="heading 3"/>
    <!-- <w:basedOn w:val="Normal" /> <w:next w:val="Normal" /> <w:link w:val="Titre3Car"   /> -->
    <w:uiPriority w:val="9"/>
    <w:unhideWhenUsed/>
    <w:rsid w:val="00285B63"/>
    <w:pPr>
      <w:keepNext/>
      <w:keepLines/>
      <w:spacing w:after="0" w:before="200"/>
      <w:outlineLvl w:val="2"/>
    </w:pPr>
    <w:rPr>
      <w:rFonts w:asciiTheme="majorHAnsi" w:cstheme="majorBidi" w:eastAsiaTheme="majorEastAsia" w:hAnsiTheme="majorHAnsi"/>
      <w:b/>
      <w:bCs/>
      <w:color w:themeColor="accent1" w:val="4F81BD"/>
    </w:rPr>
  </w:style>
  <w:style w:styleId="XDocReport_Heading_4" w:type="paragraph">
    <w:name w:val="heading 4"/>
    <!-- <w:basedOn w:val="Normal" /> <w:next w:val="Normal" /> <w:link w:val="Titre4Car" /> -->
    <w:uiPriority w:val="9"/>
    <w:unhideWhenUsed/>
    <w:qFormat/>
    <w:rsid w:val="005F433E"/>
    <w:pPr>
      <w:keepNext/>
      <w:keepLines/>
      <w:spacing w:after="0" w:before="200"/>
      <w:outlineLvl w:val="3"/>
    </w:pPr>
    <w:rPr>
      <w:rFonts w:asciiTheme="majorHAnsi" w:cstheme="majorBidi" w:eastAsiaTheme="majorEastAsia" w:hAnsiTheme="majorHAnsi"/>
      <w:b/>
      <w:bCs/>
      <w:i/>
      <w:iCs/>
      <w:color w:themeColor="accent1" w:val="4F81BD"/>
    </w:rPr>
  </w:style>
  <w:style w:styleId="XDocReport_Heading_5" w:type="paragraph">
    <w:name w:val="heading 5"/>
    <!-- <w:basedOn w:val="Normal" /> <w:next w:val="Normal" /> <w:link w:val="Titre5Car"   /> -->
    <w:uiPriority w:val="9"/>
    <w:unhideWhenUsed/>
    <w:qFormat/>
    <w:rsid w:val="005F433E"/>
    <w:pPr>
      <w:keepNext/>
      <w:keepLines/>
      <w:spacing w:after="0" w:before="200"/>
      <w:outlineLvl w:val="4"/>
    </w:pPr>
    <w:rPr>
      <w:rFonts w:asciiTheme="majorHAnsi" w:cstheme="majorBidi" w:eastAsiaTheme="majorEastAsia" w:hAnsiTheme="majorHAnsi"/>
      <w:color w:themeColor="accent1" w:themeShade="7F" w:val="243F60"/>
    </w:rPr>
  </w:style>
  <w:style w:styleId="XDocReport_Heading_6" w:type="paragraph">
    <w:name w:val="heading 6"/>
    <!-- <w:basedOn w:val="Normal" /> <w:next w:val="Normal" /> <w:link w:val="Titre6Car" /> -->
    <w:uiPriority w:val="9"/>
    <w:unhideWhenUsed/>
    <w:qFormat/>
    <w:rsid w:val="005F433E"/>
    <w:pPr>
      <w:keepNext/>
      <w:keepLines/>
      <w:spacing w:after="0" w:before="200"/>
      <w:outlineLvl w:val="5"/>
    </w:pPr>
    <w:rPr>
      <w:rFonts w:asciiTheme="majorHAnsi" w:cstheme="majorBidi" w:eastAsiaTheme="majorEastAsia" w:hAnsiTheme="majorHAnsi"/>
      <w:i/>
      <w:iCs/>
      <w:color w:themeColor="accent1" w:themeShade="7F"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159595">
      <w:bodyDiv w:val="1"/>
      <w:marLeft w:val="0"/>
      <w:marRight w:val="0"/>
      <w:marTop w:val="0"/>
      <w:marBottom w:val="0"/>
      <w:divBdr>
        <w:top w:val="none" w:sz="0" w:space="0" w:color="auto"/>
        <w:left w:val="none" w:sz="0" w:space="0" w:color="auto"/>
        <w:bottom w:val="none" w:sz="0" w:space="0" w:color="auto"/>
        <w:right w:val="none" w:sz="0" w:space="0" w:color="auto"/>
      </w:divBdr>
    </w:div>
    <w:div w:id="375928939">
      <w:bodyDiv w:val="1"/>
      <w:marLeft w:val="0"/>
      <w:marRight w:val="0"/>
      <w:marTop w:val="0"/>
      <w:marBottom w:val="0"/>
      <w:divBdr>
        <w:top w:val="none" w:sz="0" w:space="0" w:color="auto"/>
        <w:left w:val="none" w:sz="0" w:space="0" w:color="auto"/>
        <w:bottom w:val="none" w:sz="0" w:space="0" w:color="auto"/>
        <w:right w:val="none" w:sz="0" w:space="0" w:color="auto"/>
      </w:divBdr>
    </w:div>
    <w:div w:id="1194727163">
      <w:bodyDiv w:val="1"/>
      <w:marLeft w:val="0"/>
      <w:marRight w:val="0"/>
      <w:marTop w:val="0"/>
      <w:marBottom w:val="0"/>
      <w:divBdr>
        <w:top w:val="none" w:sz="0" w:space="0" w:color="auto"/>
        <w:left w:val="none" w:sz="0" w:space="0" w:color="auto"/>
        <w:bottom w:val="none" w:sz="0" w:space="0" w:color="auto"/>
        <w:right w:val="none" w:sz="0" w:space="0" w:color="auto"/>
      </w:divBdr>
    </w:div>
    <w:div w:id="1843010255">
      <w:bodyDiv w:val="1"/>
      <w:marLeft w:val="0"/>
      <w:marRight w:val="0"/>
      <w:marTop w:val="0"/>
      <w:marBottom w:val="0"/>
      <w:divBdr>
        <w:top w:val="none" w:sz="0" w:space="0" w:color="auto"/>
        <w:left w:val="none" w:sz="0" w:space="0" w:color="auto"/>
        <w:bottom w:val="none" w:sz="0" w:space="0" w:color="auto"/>
        <w:right w:val="none" w:sz="0" w:space="0" w:color="auto"/>
      </w:divBdr>
    </w:div>
    <w:div w:id="1849053516">
      <w:bodyDiv w:val="1"/>
      <w:marLeft w:val="0"/>
      <w:marRight w:val="0"/>
      <w:marTop w:val="0"/>
      <w:marBottom w:val="0"/>
      <w:divBdr>
        <w:top w:val="none" w:sz="0" w:space="0" w:color="auto"/>
        <w:left w:val="none" w:sz="0" w:space="0" w:color="auto"/>
        <w:bottom w:val="none" w:sz="0" w:space="0" w:color="auto"/>
        <w:right w:val="none" w:sz="0" w:space="0" w:color="auto"/>
      </w:divBdr>
    </w:div>
    <w:div w:id="188405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ntTable.xml" Type="http://schemas.openxmlformats.org/officeDocument/2006/relationships/fontTable"/>
<Relationship Id="rId12"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media/image1.gif" Type="http://schemas.openxmlformats.org/officeDocument/2006/relationships/image"/>
<Relationship Id="rId9" Target="header1.xml" Type="http://schemas.openxmlformats.org/officeDocument/2006/relationships/head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2CFBB-EF4E-4D47-8958-E944E7DA6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1739</Words>
  <Characters>13187</Characters>
  <Application>Microsoft Office Word</Application>
  <DocSecurity>0</DocSecurity>
  <Lines>599</Lines>
  <Paragraphs>298</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2016-01-05T16:51:00Z</dcterms:created>
  <dcterms:modified xsi:type="dcterms:W3CDTF">2021-04-19T12:16:00Z</dcterms:modified>
  <cp:revision>1</cp:revision>
</cp:coreProperties>
</file>