
<file path=[Content_Types].xml><?xml version="1.0" encoding="utf-8"?>
<Types xmlns="http://schemas.openxmlformats.org/package/2006/content-types">
  <Default ContentType="image/bmp" Extension="bmp"/>
  <Default ContentType="image/gif" Extension="gif"/>
  <Default ContentType="image/jpeg" Extension="jfif"/>
  <Default ContentType="image/jpeg" Extension="jpe"/>
  <Default ContentType="image/jpeg" Extension="jpeg"/>
  <Default ContentType="image/jpeg" Extension="jpg"/>
  <Default ContentType="image/png" Extension="png"/>
  <Default ContentType="application/vnd.openxmlformats-package.relationships+xml" Extension="rels"/>
  <Default ContentType="image/tiff" Extension="tif"/>
  <Default ContentType="image/tiff" Extension="tif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R="00F65EB4" w:rsidRDefault="00E32B6D"/>
    <w:tbl>
      <w:tblPr>
        <w:tblStyle w:val="TableGrid"/>
        <w:tblW w:type="pct" w:w="5003"/>
        <w:jc w:val="center"/>
        <w:tblInd w:type="dxa" w:w="0"/>
        <w:tblCellMar>
          <w:top w:type="dxa" w:w="13"/>
          <w:right w:type="dxa" w:w="7"/>
        </w:tblCellMar>
        <w:tblLook w:firstColumn="1" w:firstRow="1" w:lastColumn="0" w:lastRow="0" w:noHBand="0" w:noVBand="1" w:val="04A0"/>
      </w:tblPr>
      <w:tblGrid>
        <w:gridCol w:w="2091"/>
        <w:gridCol w:w="770"/>
        <w:gridCol w:w="6216"/>
      </w:tblGrid>
      <w:tr w:rsidR="002B2CF2" w:rsidRPr="00014C3A" w:rsidTr="00251DEF">
        <w:trPr>
          <w:trHeight w:val="2035"/>
          <w:jc w:val="center"/>
        </w:trPr>
        <w:tc>
          <w:tcPr>
            <w:tcW w:type="pct" w:w="1152"/>
            <w:tcBorders>
              <w:top w:color="000000" w:space="0" w:sz="18" w:val="single"/>
              <w:left w:color="000000" w:space="0" w:sz="18" w:val="single"/>
              <w:bottom w:color="000000" w:space="0" w:sz="18" w:val="single"/>
              <w:right w:val="nil"/>
            </w:tcBorders>
          </w:tcPr>
          <w:p w:rsidP="00887EE8" w:rsidR="002B2CF2" w:rsidRDefault="002B2CF2" w:rsidRPr="00014C3A">
            <w:pPr>
              <w:spacing w:after="120" w:before="120"/>
              <w:ind w:left="113"/>
              <w:jc w:val="center"/>
              <w:rPr>
                <w:bCs/>
              </w:rPr>
            </w:pPr>
            <w:r w:rsidRPr="00014C3A">
              <w:rPr>
                <w:b/>
                <w:bCs/>
              </w:rPr>
              <w:t> </w:t>
            </w:r>
            <w:r w:rsidRPr="00014C3A">
              <w:rPr>
                <w:b/>
                <w:bCs/>
              </w:rPr>
              <w:br/>
            </w:r>
            <w:r w:rsidRPr="00014C3A">
              <w:rPr>
                <w:noProof/>
              </w:rPr>
              <w:drawing>
                <wp:inline distB="0" distL="0" distR="0" distT="0" wp14:anchorId="64E55A07" wp14:editId="4DBB9D8D">
                  <wp:extent cx="952500" cy="466725"/>
                  <wp:effectExtent b="9525" l="0" r="0"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r w:rsidRPr="00014C3A">
              <w:rPr>
                <w:b/>
                <w:bCs/>
              </w:rPr>
              <w:br/>
              <w:t>European Commission</w:t>
            </w:r>
            <w:r w:rsidRPr="00014C3A">
              <w:rPr>
                <w:b/>
                <w:bCs/>
              </w:rPr>
              <w:br/>
            </w:r>
            <w:r w:rsidR="00251DEF" w:rsidRPr="00251DEF">
              <w:rPr>
                <w:bCs/>
              </w:rPr>
              <w:t>European Climate, Infrastructure and Environment Executive Agency (CINEA)</w:t>
            </w:r>
          </w:p>
          <w:p w:rsidP="00887EE8" w:rsidR="002B2CF2" w:rsidRDefault="002B2CF2" w:rsidRPr="00014C3A">
            <w:pPr>
              <w:spacing w:after="120" w:before="120"/>
              <w:ind w:left="113"/>
              <w:jc w:val="center"/>
              <w:rPr>
                <w:bCs/>
              </w:rPr>
            </w:pPr>
          </w:p>
          <w:p w:rsidP="00887EE8" w:rsidR="002B2CF2" w:rsidRDefault="002B2CF2" w:rsidRPr="00014C3A">
            <w:pPr>
              <w:spacing w:after="120" w:before="120"/>
              <w:ind w:left="113"/>
              <w:jc w:val="center"/>
            </w:pPr>
            <w:r w:rsidRPr="00014C3A">
              <w:rPr>
                <w:b/>
              </w:rPr>
              <w:t>Connecting Europe Facility</w:t>
            </w:r>
          </w:p>
        </w:tc>
        <w:tc>
          <w:tcPr>
            <w:tcW w:type="pct" w:w="3845"/>
            <w:gridSpan w:val="2"/>
            <w:tcBorders>
              <w:top w:color="000000" w:space="0" w:sz="18" w:val="single"/>
              <w:left w:val="nil"/>
              <w:bottom w:color="000000" w:space="0" w:sz="18" w:val="single"/>
              <w:right w:color="000000" w:space="0" w:sz="18" w:val="single"/>
            </w:tcBorders>
            <w:shd w:color="auto" w:fill="99CCFF" w:val="clear"/>
            <w:vAlign w:val="center"/>
          </w:tcPr>
          <w:p w:rsidP="00796FA7" w:rsidR="002B2CF2" w:rsidRDefault="00C07328">
            <w:pPr>
              <w:spacing w:after="0" w:line="240" w:lineRule="auto"/>
              <w:jc w:val="center"/>
              <w:rPr>
                <w:rFonts w:ascii="Verdana" w:cs="Arial" w:eastAsia="Arial" w:hAnsi="Verdana"/>
                <w:b/>
                <w:sz w:val="36"/>
              </w:rPr>
            </w:pPr>
            <w:r>
              <w:rPr>
                <w:rFonts w:ascii="Verdana" w:cs="Arial" w:eastAsia="Arial" w:hAnsi="Verdana"/>
                <w:b/>
                <w:noProof/>
                <w:sz w:val="36"/>
                <w:szCs w:val="36"/>
              </w:rPr>
              <w:t>ASR-2024-2016-SK-TMC-0220-S-Upgrade of the railway line Devínska Nová Ves - SK/CZ state border, Malacky-Kúty section</w:t>
            </w:r>
          </w:p>
          <w:p w:rsidP="00F154EC" w:rsidR="002B2CF2" w:rsidRDefault="002B2CF2" w:rsidRPr="00F102E8">
            <w:pPr>
              <w:spacing w:after="120" w:before="120"/>
              <w:ind w:left="113"/>
              <w:jc w:val="center"/>
              <w:rPr>
                <w:rFonts w:ascii="Verdana" w:hAnsi="Verdana"/>
              </w:rPr>
            </w:pPr>
            <w:r w:rsidRPr="00F102E8">
              <w:rPr>
                <w:rFonts w:ascii="Verdana" w:cs="Arial" w:eastAsia="Arial" w:hAnsi="Verdana"/>
                <w:sz w:val="36"/>
              </w:rPr>
              <w:t xml:space="preserve">Reporting period: </w:t>
            </w:r>
            <w:r w:rsidR="00F154EC" w:rsidRPr="00F102E8">
              <w:rPr>
                <w:rFonts w:ascii="Verdana" w:cs="Arial" w:eastAsia="Arial" w:hAnsi="Verdana"/>
                <w:noProof/>
                <w:sz w:val="36"/>
              </w:rPr>
              <w:t>1 January 2023 - 31 December 2023</w:t>
            </w:r>
          </w:p>
        </w:tc>
      </w:tr>
      <w:tr w:rsidR="002B2CF2" w:rsidRPr="00187B31" w:rsidTr="00251DEF">
        <w:trPr>
          <w:trHeight w:val="534"/>
          <w:jc w:val="center"/>
        </w:trPr>
        <w:tc>
          <w:tcPr>
            <w:tcW w:type="pct" w:w="4997"/>
            <w:gridSpan w:val="3"/>
            <w:tcBorders>
              <w:top w:color="000000" w:space="0" w:sz="18" w:val="single"/>
              <w:left w:val="nil"/>
              <w:right w:val="nil"/>
            </w:tcBorders>
            <w:shd w:color="auto" w:fill="FFFFFF" w:val="clear"/>
          </w:tcPr>
          <w:p w:rsidP="00887EE8" w:rsidR="002B2CF2" w:rsidRDefault="002B2CF2" w:rsidRPr="00187B31">
            <w:pPr>
              <w:rPr>
                <w:rFonts w:ascii="Verdana" w:hAnsi="Verdana"/>
              </w:rPr>
            </w:pP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714"/>
          <w:jc w:val="center"/>
        </w:trPr>
        <w:tc>
          <w:tcPr>
            <w:tcW w:type="pct" w:w="5000"/>
            <w:gridSpan w:val="3"/>
            <w:shd w:color="auto" w:fill="99CCFF" w:val="clear"/>
            <w:vAlign w:val="center"/>
          </w:tcPr>
          <w:p w:rsidP="00887EE8" w:rsidR="002B2CF2" w:rsidRDefault="002B2CF2" w:rsidRPr="00187B31">
            <w:pPr>
              <w:spacing w:after="120" w:before="120"/>
              <w:ind w:left="113"/>
              <w:rPr>
                <w:rFonts w:ascii="Verdana" w:hAnsi="Verdana"/>
              </w:rPr>
            </w:pPr>
            <w:bookmarkStart w:id="0" w:name="_GoBack"/>
            <w:bookmarkEnd w:id="0"/>
            <w:r w:rsidRPr="00252ECC">
              <w:rPr>
                <w:rFonts w:ascii="Verdana" w:cs="Arial" w:eastAsia="Arial" w:hAnsi="Verdana"/>
                <w:b/>
                <w:sz w:val="32"/>
              </w:rPr>
              <w:t>1. INFORMATION ON THE ACTION</w:t>
            </w: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187B31">
            <w:pPr>
              <w:spacing w:after="120" w:before="120"/>
              <w:ind w:left="113"/>
              <w:rPr>
                <w:rFonts w:ascii="Verdana" w:hAnsi="Verdana"/>
              </w:rPr>
            </w:pPr>
            <w:r w:rsidRPr="00187B31">
              <w:rPr>
                <w:rFonts w:ascii="Verdana" w:cs="Arial" w:eastAsia="Arial" w:hAnsi="Verdana"/>
                <w:sz w:val="24"/>
              </w:rPr>
              <w:t>Grant Agreement Nº</w:t>
            </w:r>
          </w:p>
        </w:tc>
        <w:tc>
          <w:tcPr>
            <w:tcW w:type="pct" w:w="3424"/>
            <w:vAlign w:val="center"/>
          </w:tcPr>
          <w:p w:rsidP="00887EE8" w:rsidR="002B2CF2" w:rsidRDefault="00331949" w:rsidRPr="00331949">
            <w:pPr>
              <w:spacing w:after="120" w:before="120"/>
              <w:ind w:left="113"/>
              <w:rPr>
                <w:rFonts w:ascii="Verdana" w:cs="Arial" w:eastAsia="Arial" w:hAnsi="Verdana"/>
                <w:sz w:val="24"/>
              </w:rPr>
            </w:pPr>
            <w:r>
              <w:rPr>
                <w:rFonts w:ascii="Verdana" w:cs="Arial" w:eastAsia="Arial" w:hAnsi="Verdana"/>
                <w:noProof/>
                <w:sz w:val="24"/>
              </w:rPr>
              <w:t>INEA/CEF/TRAN/M2016/1356385</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598"/>
          <w:jc w:val="center"/>
        </w:trPr>
        <w:tc>
          <w:tcPr>
            <w:tcW w:type="pct" w:w="1576"/>
            <w:gridSpan w:val="2"/>
            <w:shd w:color="auto" w:fill="FFFF99" w:val="clear"/>
            <w:vAlign w:val="center"/>
          </w:tcPr>
          <w:p w:rsidP="00887EE8" w:rsidR="002B2CF2" w:rsidRDefault="002B2CF2" w:rsidRPr="00187B31">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number</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2016-SK-TMC-0220-S</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677"/>
          <w:jc w:val="center"/>
        </w:trPr>
        <w:tc>
          <w:tcPr>
            <w:tcW w:type="pct" w:w="1576"/>
            <w:gridSpan w:val="2"/>
            <w:shd w:color="auto" w:fill="FFFF99" w:val="clear"/>
            <w:vAlign w:val="cente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t</w:t>
            </w:r>
            <w:r w:rsidRPr="00187B31">
              <w:rPr>
                <w:rFonts w:ascii="Verdana" w:cs="Arial" w:eastAsia="Arial" w:hAnsi="Verdana"/>
                <w:sz w:val="24"/>
              </w:rPr>
              <w:t>itle</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Upgrade of the railway line Devínska Nová Ves - SK/CZ state border, Malacky-Kúty section</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PCI</w:t>
            </w:r>
            <w:r>
              <w:rPr>
                <w:rFonts w:ascii="Verdana" w:cs="Arial" w:eastAsia="Arial" w:hAnsi="Verdana"/>
                <w:sz w:val="24"/>
              </w:rPr>
              <w:t xml:space="preserve"> (for energy </w:t>
            </w:r>
            <w:r w:rsidR="00B96B89">
              <w:rPr>
                <w:rFonts w:ascii="Verdana" w:cs="Arial" w:eastAsia="Arial" w:hAnsi="Verdana"/>
                <w:sz w:val="24"/>
              </w:rPr>
              <w:t xml:space="preserve">and synergy </w:t>
            </w:r>
            <w:r>
              <w:rPr>
                <w:rFonts w:ascii="Verdana" w:cs="Arial" w:eastAsia="Arial" w:hAnsi="Verdana"/>
                <w:sz w:val="24"/>
              </w:rPr>
              <w:t>only)</w:t>
            </w:r>
          </w:p>
        </w:tc>
        <w:tc>
          <w:tcPr>
            <w:tcW w:type="pct" w:w="3424"/>
            <w:vAlign w:val="center"/>
          </w:tcPr>
          <w:p w:rsidP="00887EE8" w:rsidR="002B2CF2" w:rsidRDefault="0086003A" w:rsidRPr="008F6F32">
            <w:pPr>
              <w:spacing w:after="120" w:before="120"/>
              <w:ind w:left="113"/>
              <w:rPr>
                <w:rFonts w:ascii="Verdana" w:cs="Arial" w:eastAsia="Arial" w:hAnsi="Verdana"/>
                <w:sz w:val="24"/>
              </w:rPr>
            </w:pPr>
            <w:r>
              <w:rPr>
                <w:rFonts w:ascii="Verdana" w:cs="Arial" w:eastAsia="Arial" w:hAnsi="Verdana"/>
                <w:noProof/>
                <w:sz w:val="24"/>
              </w:rPr>
              <w:t/>
            </w:r>
          </w:p>
        </w:tc>
      </w:tr>
    </w:tbl>
    <w:p w:rsidR="002B2CF2" w:rsidRDefault="00E32B6D">
      <w:r w:rsidR="00310E2D">
        <w:rPr>
          <w:noProof/>
        </w:rPr>
        <w:t/>
      </w:r>
    </w:p>
    <w:tbl>
      <w:tblPr>
        <w:tblStyle w:val="TableGrid"/>
        <w:tblW w:type="pct" w:w="5003"/>
        <w:jc w:val="center"/>
        <w:tblInd w:type="dxa" w:w="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CellMar>
          <w:top w:type="dxa" w:w="13"/>
          <w:right w:type="dxa" w:w="7"/>
        </w:tblCellMar>
        <w:tblLook w:firstColumn="1" w:firstRow="1" w:lastColumn="0" w:lastRow="0" w:noHBand="0" w:noVBand="1" w:val="04A0"/>
      </w:tblPr>
      <w:tblGrid>
        <w:gridCol w:w="2861"/>
        <w:gridCol w:w="6216"/>
      </w:tblGrid>
      <w:tr w:rsidR="00AC1B86" w:rsidRPr="00187B31" w:rsidTr="000C4B70">
        <w:trPr>
          <w:trHeight w:val="355"/>
          <w:jc w:val="center"/>
        </w:trPr>
        <w:tc>
          <w:tcPr>
            <w:tcW w:type="pct" w:w="5000"/>
            <w:gridSpan w:val="2"/>
            <w:shd w:color="auto" w:fill="99CCFF" w:val="clear"/>
          </w:tcPr>
          <w:p w:rsidP="00887EE8" w:rsidR="00AC1B86" w:rsidRDefault="00AC1B86" w:rsidRPr="00187B31">
            <w:pPr>
              <w:spacing w:after="120" w:before="120"/>
              <w:ind w:left="113"/>
              <w:rPr>
                <w:rFonts w:ascii="Verdana" w:hAnsi="Verdana"/>
              </w:rPr>
            </w:pPr>
            <w:r w:rsidRPr="00252ECC">
              <w:rPr>
                <w:rFonts w:ascii="Verdana" w:cs="Arial" w:eastAsia="Arial" w:hAnsi="Verdana"/>
                <w:sz w:val="36"/>
              </w:rPr>
              <w:t>Author of the report</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Name</w:t>
            </w:r>
          </w:p>
        </w:tc>
        <w:tc>
          <w:tcPr>
            <w:tcW w:type="pct" w:w="3424"/>
            <w:vAlign w:val="center"/>
          </w:tcPr>
          <w:p w:rsidP="00310E2D" w:rsidR="00AC1B86" w:rsidRDefault="00310E2D" w:rsidRPr="00310E2D">
            <w:pPr>
              <w:spacing w:after="120" w:before="120"/>
              <w:ind w:left="113"/>
              <w:rPr>
                <w:rFonts w:ascii="Verdana" w:cs="Arial" w:eastAsia="Arial" w:hAnsi="Verdana"/>
                <w:sz w:val="24"/>
              </w:rPr>
            </w:pPr>
            <w:r>
              <w:rPr>
                <w:rFonts w:ascii="Verdana" w:cs="Arial" w:eastAsia="Arial" w:hAnsi="Verdana"/>
                <w:noProof/>
                <w:sz w:val="24"/>
              </w:rPr>
              <w:t>Roman</w:t>
            </w:r>
            <w:r>
              <w:rPr>
                <w:rFonts w:ascii="Verdana" w:cs="Arial" w:eastAsia="Arial" w:hAnsi="Verdana"/>
                <w:sz w:val="24"/>
              </w:rPr>
              <w:t xml:space="preserve"> </w:t>
            </w:r>
            <w:r>
              <w:rPr>
                <w:rFonts w:ascii="Verdana" w:cs="Arial" w:eastAsia="Arial" w:hAnsi="Verdana"/>
                <w:noProof/>
                <w:sz w:val="24"/>
              </w:rPr>
              <w:t>Havelka</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Position</w:t>
            </w:r>
          </w:p>
        </w:tc>
        <w:tc>
          <w:tcPr>
            <w:tcW w:type="pct" w:w="3424"/>
            <w:vAlign w:val="center"/>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Project Manager</w:t>
            </w:r>
          </w:p>
        </w:tc>
      </w:tr>
      <w:tr w:rsidR="00AC1B86" w:rsidRPr="00187B31" w:rsidTr="000C4B70">
        <w:trPr>
          <w:trHeight w:val="637"/>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Entity</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Železnice Slovenskej republiky</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Telephone Nº</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+421220293321</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E-mail</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havelka.roman@zsr.sk</w:t>
            </w:r>
          </w:p>
        </w:tc>
      </w:tr>
    </w:tbl>
    <w:p w:rsidR="00514B03" w:rsidRDefault="00514B03">
      <w:pPr>
        <w:spacing w:after="0" w:line="240" w:lineRule="auto"/>
      </w:pPr>
    </w:p>
    <w:p w:rsidR="00C7427B" w:rsidRDefault="00E035B3">
      <w:pPr>
        <w:spacing w:after="0" w:line="240" w:lineRule="auto"/>
      </w:pPr>
      <w:r w:rsidR="00310E2D">
        <w:rPr>
          <w:noProof/>
        </w:rPr>
        <w:t/>
      </w:r>
      <w:r w:rsidR="00C7427B">
        <w:br w:type="page"/>
      </w:r>
    </w:p>
    <w:p w:rsidR="00C7427B" w:rsidRDefault="00C7427B"/>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301882" w:rsidRPr="00187B31" w:rsidTr="00301882">
        <w:trPr>
          <w:trHeight w:val="412"/>
        </w:trPr>
        <w:tc>
          <w:tcPr>
            <w:tcW w:type="dxa" w:w="9594"/>
            <w:shd w:color="auto" w:fill="99CCFF" w:val="clear"/>
            <w:tcMar>
              <w:top w:type="dxa" w:w="113"/>
              <w:bottom w:type="dxa" w:w="113"/>
            </w:tcMar>
          </w:tcPr>
          <w:p w:rsidP="00887EE8" w:rsidR="00301882" w:rsidRDefault="00301882" w:rsidRPr="006E5959">
            <w:pPr>
              <w:keepNext/>
              <w:snapToGrid w:val="0"/>
              <w:spacing w:after="120" w:before="120"/>
              <w:ind w:left="113" w:right="-17"/>
              <w:rPr>
                <w:rFonts w:ascii="Verdana" w:hAnsi="Verdana"/>
                <w:b/>
                <w:spacing w:val="-10"/>
                <w:sz w:val="32"/>
                <w:szCs w:val="32"/>
              </w:rPr>
            </w:pPr>
            <w:r w:rsidRPr="006E5959">
              <w:rPr>
                <w:rFonts w:ascii="Verdana" w:hAnsi="Verdana"/>
                <w:b/>
                <w:spacing w:val="-10"/>
                <w:sz w:val="32"/>
                <w:szCs w:val="32"/>
              </w:rPr>
              <w:t xml:space="preserve">2. INFORMATION ON THE PROGRESS </w:t>
            </w:r>
            <w:r>
              <w:rPr>
                <w:rFonts w:ascii="Verdana" w:hAnsi="Verdana"/>
                <w:b/>
                <w:spacing w:val="-10"/>
                <w:sz w:val="32"/>
                <w:szCs w:val="32"/>
              </w:rPr>
              <w:t xml:space="preserve">OF </w:t>
            </w:r>
            <w:r w:rsidRPr="006E5959">
              <w:rPr>
                <w:rFonts w:ascii="Verdana" w:hAnsi="Verdana"/>
                <w:b/>
                <w:spacing w:val="-10"/>
                <w:sz w:val="32"/>
                <w:szCs w:val="32"/>
              </w:rPr>
              <w:t>THE ACTION</w:t>
            </w:r>
            <w:r>
              <w:rPr>
                <w:rFonts w:ascii="Verdana" w:hAnsi="Verdana"/>
                <w:b/>
                <w:spacing w:val="-10"/>
                <w:sz w:val="32"/>
                <w:szCs w:val="32"/>
              </w:rPr>
              <w:t xml:space="preserve"> </w:t>
            </w:r>
            <w:r w:rsidRPr="006A511D">
              <w:rPr>
                <w:rFonts w:ascii="Verdana" w:hAnsi="Verdana"/>
                <w:b/>
                <w:spacing w:val="-10"/>
                <w:sz w:val="24"/>
                <w:szCs w:val="32"/>
              </w:rPr>
              <w:t>(GA II.23.1.1.c</w:t>
            </w:r>
            <w:r>
              <w:rPr>
                <w:rFonts w:ascii="Verdana" w:hAnsi="Verdana"/>
                <w:b/>
                <w:spacing w:val="-10"/>
                <w:sz w:val="24"/>
                <w:szCs w:val="32"/>
              </w:rPr>
              <w:t xml:space="preserve"> or SESAR FPA II.23.1b.c</w:t>
            </w:r>
            <w:r w:rsidRPr="006A511D">
              <w:rPr>
                <w:rFonts w:ascii="Verdana" w:hAnsi="Verdana"/>
                <w:b/>
                <w:spacing w:val="-10"/>
                <w:sz w:val="24"/>
                <w:szCs w:val="32"/>
              </w:rPr>
              <w:t>)</w:t>
            </w:r>
          </w:p>
        </w:tc>
      </w:tr>
    </w:tbl>
    <w:p w:rsidR="00C7427B" w:rsidRDefault="00C7427B"/>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9E5213" w:rsidRPr="00187B31" w:rsidTr="009E5213">
        <w:trPr>
          <w:trHeight w:val="408"/>
          <w:jc w:val="center"/>
        </w:trPr>
        <w:tc>
          <w:tcPr>
            <w:tcW w:type="dxa" w:w="9594"/>
            <w:shd w:color="auto" w:fill="99CCFF" w:val="clear"/>
          </w:tcPr>
          <w:p w:rsidP="00887EE8" w:rsidR="009E5213" w:rsidRDefault="009E5213" w:rsidRPr="00187B31">
            <w:pPr>
              <w:spacing w:after="120" w:before="120"/>
              <w:ind w:left="113"/>
              <w:rPr>
                <w:rFonts w:ascii="Verdana" w:hAnsi="Verdana"/>
                <w:b/>
                <w:spacing w:val="-10"/>
              </w:rPr>
            </w:pPr>
            <w:r w:rsidRPr="00187B31">
              <w:rPr>
                <w:rFonts w:ascii="Verdana" w:hAnsi="Verdana"/>
                <w:b/>
                <w:spacing w:val="-10"/>
              </w:rPr>
              <w:t xml:space="preserve">2.1. </w:t>
            </w:r>
            <w:r>
              <w:rPr>
                <w:rFonts w:ascii="Verdana" w:hAnsi="Verdana"/>
                <w:b/>
                <w:spacing w:val="-10"/>
              </w:rPr>
              <w:t>Overall progress of the Action</w:t>
            </w:r>
            <w:r w:rsidRPr="00187B31">
              <w:rPr>
                <w:rFonts w:ascii="Verdana" w:hAnsi="Verdana"/>
                <w:b/>
                <w:spacing w:val="-10"/>
              </w:rPr>
              <w:t xml:space="preserve"> </w:t>
            </w:r>
            <w:r w:rsidR="00242468">
              <w:rPr>
                <w:rFonts w:ascii="Verdana" w:hAnsi="Verdana"/>
                <w:b/>
                <w:spacing w:val="-10"/>
              </w:rPr>
              <w:t>until the end of the previous reporting period</w:t>
            </w:r>
          </w:p>
        </w:tc>
      </w:tr>
    </w:tbl>
    <w:p w:rsidR="00C7427B" w:rsidRDefault="00C7427B"/>
    <w:tbl>
      <w:tblPr>
        <w:tblW w:type="pct" w:w="5000"/>
        <w:jc w:val="center"/>
        <w:tblLook w:firstColumn="1" w:firstRow="1" w:lastColumn="0" w:lastRow="0" w:noHBand="0" w:noVBand="1" w:val="04A0"/>
      </w:tblPr>
      <w:tblGrid>
        <w:gridCol w:w="942"/>
        <w:gridCol w:w="906"/>
        <w:gridCol w:w="1273"/>
        <w:gridCol w:w="1237"/>
        <w:gridCol w:w="1729"/>
        <w:gridCol w:w="1775"/>
        <w:gridCol w:w="1380"/>
      </w:tblGrid>
      <w:tr w:rsidR="008B6394" w:rsidRPr="00127DD0" w:rsidTr="00FC63CA">
        <w:trPr>
          <w:trHeight w:val="560"/>
          <w:jc w:val="center"/>
        </w:trPr>
        <w:tc>
          <w:tcPr>
            <w:tcW w:type="dxa" w:w="2601"/>
            <w:gridSpan w:val="2"/>
            <w:tcBorders>
              <w:top w:color="auto" w:space="0" w:sz="8" w:val="single"/>
              <w:left w:color="auto" w:space="0" w:sz="8" w:val="single"/>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sidRPr="00127DD0">
              <w:rPr>
                <w:rFonts w:eastAsia="Times New Roman"/>
                <w:b/>
                <w:lang w:eastAsia="en-GB"/>
              </w:rPr>
              <w:t xml:space="preserve">Planned dates </w:t>
            </w:r>
            <w:r w:rsidRPr="00127DD0">
              <w:rPr>
                <w:rFonts w:eastAsia="Times New Roman"/>
                <w:b/>
                <w:sz w:val="18"/>
                <w:lang w:eastAsia="en-GB"/>
              </w:rPr>
              <w:t>(GA)</w:t>
            </w:r>
          </w:p>
        </w:tc>
        <w:tc>
          <w:tcPr>
            <w:tcW w:type="dxa" w:w="2677"/>
            <w:gridSpan w:val="2"/>
            <w:tcBorders>
              <w:top w:color="auto" w:space="0" w:sz="8" w:val="single"/>
              <w:left w:val="nil"/>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Pr>
                <w:rFonts w:eastAsia="Times New Roman"/>
                <w:b/>
                <w:lang w:eastAsia="en-GB"/>
              </w:rPr>
              <w:t>Previous</w:t>
            </w:r>
            <w:r w:rsidRPr="00127DD0">
              <w:rPr>
                <w:rFonts w:eastAsia="Times New Roman"/>
                <w:b/>
                <w:lang w:eastAsia="en-GB"/>
              </w:rPr>
              <w:t xml:space="preserve"> ASR dates</w:t>
            </w:r>
          </w:p>
        </w:tc>
        <w:tc>
          <w:tcPr>
            <w:tcW w:type="dxa" w:w="2649"/>
            <w:gridSpan w:val="2"/>
            <w:tcBorders>
              <w:top w:color="auto" w:space="0" w:sz="8" w:val="single"/>
              <w:left w:val="nil"/>
              <w:bottom w:color="auto" w:space="0" w:sz="4" w:val="single"/>
              <w:right w:color="auto" w:space="0" w:sz="4" w:val="single"/>
            </w:tcBorders>
            <w:shd w:color="auto" w:fill="auto" w:val="clear"/>
            <w:noWrap/>
            <w:vAlign w:val="center"/>
            <w:hideMark/>
          </w:tcPr>
          <w:p w:rsidP="004B31A7" w:rsidR="009E5213" w:rsidRDefault="004B31A7" w:rsidRPr="00127DD0">
            <w:pPr>
              <w:spacing w:after="0" w:line="240" w:lineRule="auto"/>
              <w:jc w:val="center"/>
              <w:rPr>
                <w:rFonts w:eastAsia="Times New Roman"/>
                <w:b/>
                <w:lang w:eastAsia="en-GB"/>
              </w:rPr>
            </w:pPr>
            <w:r>
              <w:rPr>
                <w:rFonts w:eastAsia="Times New Roman"/>
                <w:b/>
                <w:lang w:eastAsia="en-GB"/>
              </w:rPr>
              <w:t>Actual</w:t>
            </w:r>
            <w:r w:rsidR="009E5213" w:rsidRPr="00127DD0">
              <w:rPr>
                <w:rFonts w:eastAsia="Times New Roman"/>
                <w:b/>
                <w:lang w:eastAsia="en-GB"/>
              </w:rPr>
              <w:t xml:space="preserve"> dates</w:t>
            </w:r>
          </w:p>
        </w:tc>
        <w:tc>
          <w:tcPr>
            <w:tcW w:type="dxa" w:w="1315"/>
            <w:vMerge w:val="restart"/>
            <w:tcBorders>
              <w:top w:color="auto" w:space="0" w:sz="8" w:val="single"/>
              <w:left w:color="auto" w:space="0" w:sz="4" w:val="single"/>
              <w:right w:color="auto" w:space="0" w:sz="4" w:val="single"/>
            </w:tcBorders>
            <w:shd w:color="auto" w:fill="auto" w:val="clear"/>
            <w:vAlign w:val="center"/>
            <w:hideMark/>
          </w:tcPr>
          <w:p w:rsidP="00462537" w:rsidR="009E5213" w:rsidRDefault="00462537" w:rsidRPr="00127DD0">
            <w:pPr>
              <w:spacing w:after="0" w:line="240" w:lineRule="auto"/>
              <w:jc w:val="center"/>
              <w:rPr>
                <w:rFonts w:eastAsia="Times New Roman"/>
                <w:b/>
                <w:lang w:eastAsia="en-GB"/>
              </w:rPr>
            </w:pPr>
            <w:r>
              <w:rPr>
                <w:rFonts w:eastAsia="Times New Roman"/>
                <w:b/>
                <w:lang w:eastAsia="en-GB"/>
              </w:rPr>
              <w:t>Overall t</w:t>
            </w:r>
            <w:r w:rsidR="00242468">
              <w:rPr>
                <w:rFonts w:eastAsia="Times New Roman"/>
                <w:b/>
                <w:lang w:eastAsia="en-GB"/>
              </w:rPr>
              <w:t>echnical p</w:t>
            </w:r>
            <w:r w:rsidR="009E5213" w:rsidRPr="00127DD0">
              <w:rPr>
                <w:rFonts w:eastAsia="Times New Roman"/>
                <w:b/>
                <w:lang w:eastAsia="en-GB"/>
              </w:rPr>
              <w:t xml:space="preserve">rogress achieved at the end of the </w:t>
            </w:r>
            <w:r w:rsidR="00242468">
              <w:rPr>
                <w:rFonts w:eastAsia="Times New Roman"/>
                <w:b/>
                <w:lang w:eastAsia="en-GB"/>
              </w:rPr>
              <w:t xml:space="preserve">previous </w:t>
            </w:r>
            <w:r w:rsidR="009E5213" w:rsidRPr="00127DD0">
              <w:rPr>
                <w:rFonts w:eastAsia="Times New Roman"/>
                <w:b/>
                <w:lang w:eastAsia="en-GB"/>
              </w:rPr>
              <w:t xml:space="preserve">reporting period </w:t>
            </w:r>
            <w:r w:rsidR="009E5213" w:rsidRPr="00127DD0">
              <w:rPr>
                <w:rFonts w:eastAsia="Times New Roman"/>
                <w:b/>
                <w:sz w:val="18"/>
                <w:lang w:eastAsia="en-GB"/>
              </w:rPr>
              <w:t>(%)</w:t>
            </w:r>
            <w:r w:rsidR="009E5213">
              <w:rPr>
                <w:rFonts w:eastAsia="Times New Roman"/>
                <w:b/>
                <w:sz w:val="18"/>
                <w:lang w:eastAsia="en-GB"/>
              </w:rPr>
              <w:t>*</w:t>
            </w:r>
          </w:p>
        </w:tc>
      </w:tr>
      <w:tr w:rsidR="008B6394" w:rsidRPr="0004062D" w:rsidTr="00FC63CA">
        <w:trPr>
          <w:trHeight w:val="560"/>
          <w:jc w:val="center"/>
        </w:trPr>
        <w:tc>
          <w:tcPr>
            <w:tcW w:type="dxa" w:w="1313"/>
            <w:tcBorders>
              <w:top w:val="nil"/>
              <w:left w:color="auto" w:space="0" w:sz="8" w:val="single"/>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28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3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9"/>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1"/>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5"/>
            <w:vMerge/>
            <w:tcBorders>
              <w:left w:color="auto" w:space="0" w:sz="4" w:val="single"/>
              <w:bottom w:color="auto" w:space="0" w:sz="8" w:val="single"/>
              <w:right w:color="auto" w:space="0" w:sz="4" w:val="single"/>
            </w:tcBorders>
            <w:vAlign w:val="center"/>
            <w:hideMark/>
          </w:tcPr>
          <w:p w:rsidP="00887EE8" w:rsidR="009E5213" w:rsidRDefault="009E5213" w:rsidRPr="0004062D">
            <w:pPr>
              <w:spacing w:after="0" w:line="240" w:lineRule="auto"/>
              <w:rPr>
                <w:rFonts w:eastAsia="Times New Roman"/>
                <w:lang w:eastAsia="en-GB"/>
              </w:rPr>
            </w:pPr>
          </w:p>
        </w:tc>
      </w:tr>
      <w:tr w:rsidR="008B6394" w:rsidRPr="0004062D" w:rsidTr="00597DD7">
        <w:trPr>
          <w:trHeight w:val="300"/>
          <w:jc w:val="center"/>
        </w:trPr>
        <w:tc>
          <w:tcPr>
            <w:tcW w:type="dxa" w:w="1313"/>
            <w:tcBorders>
              <w:top w:val="nil"/>
              <w:left w:color="auto" w:space="0" w:sz="8" w:val="single"/>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07/02/2017</w:t>
            </w:r>
          </w:p>
        </w:tc>
        <w:tc>
          <w:tcPr>
            <w:tcW w:type="dxa" w:w="1288"/>
            <w:tcBorders>
              <w:top w:val="nil"/>
              <w:left w:val="nil"/>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31/12/2024</w:t>
            </w:r>
          </w:p>
        </w:tc>
        <w:tc>
          <w:tcPr>
            <w:tcW w:type="dxa" w:w="1338"/>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sidR="008A130B">
              <w:rPr>
                <w:rFonts w:eastAsia="Times New Roman"/>
                <w:noProof/>
                <w:lang w:eastAsia="en-GB"/>
              </w:rPr>
              <w:t>07/02/2017</w:t>
            </w:r>
          </w:p>
        </w:tc>
        <w:tc>
          <w:tcPr>
            <w:tcW w:type="dxa" w:w="1339"/>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Pr>
                <w:rFonts w:eastAsia="Times New Roman"/>
                <w:noProof/>
                <w:lang w:eastAsia="en-GB"/>
              </w:rPr>
              <w:t>31/12/2024</w:t>
            </w:r>
          </w:p>
        </w:tc>
        <w:tc>
          <w:tcPr>
            <w:tcW w:type="dxa" w:w="1318"/>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07/02/2017</w:t>
            </w:r>
          </w:p>
        </w:tc>
        <w:tc>
          <w:tcPr>
            <w:tcW w:type="dxa" w:w="1331"/>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31/12/2024</w:t>
            </w:r>
          </w:p>
        </w:tc>
        <w:tc>
          <w:tcPr>
            <w:tcW w:type="dxa" w:w="1315"/>
            <w:tcBorders>
              <w:top w:val="nil"/>
              <w:left w:val="nil"/>
              <w:bottom w:color="000000" w:space="0" w:sz="8" w:val="single"/>
              <w:right w:color="auto" w:space="0" w:sz="4" w:val="single"/>
            </w:tcBorders>
            <w:shd w:color="auto" w:fill="auto" w:val="clear"/>
            <w:noWrap/>
            <w:vAlign w:val="center"/>
          </w:tcPr>
          <w:p w:rsidP="005C32CB" w:rsidR="00E61275" w:rsidRDefault="005C32CB" w:rsidRPr="00393F18">
            <w:pPr>
              <w:spacing w:after="0" w:line="240" w:lineRule="auto"/>
              <w:jc w:val="center"/>
              <w:rPr>
                <w:rFonts w:eastAsia="Times New Roman"/>
                <w:lang w:eastAsia="en-GB"/>
              </w:rPr>
            </w:pPr>
            <w:r>
              <w:rPr>
                <w:rFonts w:eastAsia="Times New Roman"/>
                <w:noProof/>
                <w:lang w:eastAsia="en-GB"/>
              </w:rPr>
              <w:t>69.00</w:t>
            </w:r>
          </w:p>
        </w:tc>
      </w:tr>
      <w:tr w:rsidR="009E5213" w:rsidRPr="00127DD0" w:rsidTr="00FC63CA">
        <w:trPr>
          <w:trHeight w:val="300"/>
          <w:jc w:val="center"/>
        </w:trPr>
        <w:tc>
          <w:tcPr>
            <w:tcW w:type="dxa" w:w="9242"/>
            <w:gridSpan w:val="7"/>
            <w:tcBorders>
              <w:top w:color="000000" w:space="0" w:sz="8" w:val="single"/>
              <w:left w:color="auto" w:space="0" w:sz="8" w:val="single"/>
              <w:bottom w:color="000000" w:space="0" w:sz="8" w:val="single"/>
              <w:right w:color="000000" w:space="0" w:sz="8" w:val="single"/>
            </w:tcBorders>
            <w:shd w:color="auto" w:fill="auto" w:val="clear"/>
            <w:noWrap/>
            <w:vAlign w:val="bottom"/>
          </w:tcPr>
          <w:p w:rsidP="00887EE8" w:rsidR="009E5213" w:rsidRDefault="009E5213" w:rsidRPr="00127DD0">
            <w:pPr>
              <w:spacing w:after="0" w:line="240" w:lineRule="auto"/>
              <w:jc w:val="center"/>
              <w:rPr>
                <w:rStyle w:val="CommentReference"/>
                <w: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9E5213" w:rsidRPr="0004062D" w:rsidTr="00FC63CA">
        <w:trPr>
          <w:trHeight w:val="641"/>
          <w:jc w:val="center"/>
        </w:trPr>
        <w:tc>
          <w:tcPr>
            <w:tcW w:type="dxa" w:w="9242"/>
            <w:gridSpan w:val="7"/>
            <w:tcBorders>
              <w:top w:color="000000" w:space="0" w:sz="8" w:val="single"/>
              <w:left w:color="auto" w:space="0" w:sz="8" w:val="single"/>
              <w:bottom w:color="auto" w:space="0" w:sz="8" w:val="single"/>
              <w:right w:color="000000" w:space="0" w:sz="8" w:val="single"/>
            </w:tcBorders>
            <w:shd w:color="auto" w:fill="auto" w:val="clear"/>
            <w:noWrap/>
            <w:vAlign w:val="center"/>
          </w:tcPr>
          <w:p w:rsidP="001F5EB1" w:rsidR="009E5213" w:rsidRDefault="00EF34CA">
            <w:pPr>
              <w:spacing w:after="0" w:line="240" w:lineRule="auto"/>
              <w:rPr>
                <w:rStyle w:val="CommentReference"/>
              </w:rPr>
            </w:pPr>
            <w:r>
              <w:rPr>
                <w:rFonts w:eastAsia="Times New Roman"/>
                <w:noProof/>
                <w:lang w:eastAsia="en-GB"/>
              </w:rPr>
              <w:t>The technical progress achieved by the Action at the end of the previous reporting period based on weighted technical progress expressed as percentage is 69% (Annex 1.1)</w:t>
              <w:br/>
              <w:t xml:space="preserve">The determination of technical progress is based on an already defined reporting method from previous ASRs. It also monitors its progress in each milestone so that progress can be determined as accurately (i.e., at milestone level), especially in a project of this kind, as financial progress never really fits into technical progress.</w:t>
            </w:r>
          </w:p>
        </w:tc>
      </w:tr>
    </w:tbl>
    <w:p w:rsidR="009E5213" w:rsidRDefault="009E5213"/>
    <w:p w:rsidR="00225F87" w:rsidRDefault="00225F87"/>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225F87" w:rsidRPr="00187B31" w:rsidTr="006530A0">
        <w:trPr>
          <w:trHeight w:val="264"/>
          <w:jc w:val="center"/>
        </w:trPr>
        <w:tc>
          <w:tcPr>
            <w:tcW w:type="dxa" w:w="9594"/>
            <w:shd w:color="auto" w:fill="99CCFF" w:val="clear"/>
            <w:tcMar>
              <w:top w:type="dxa" w:w="85"/>
              <w:bottom w:type="dxa" w:w="85"/>
            </w:tcMar>
          </w:tcPr>
          <w:p w:rsidP="00183D92" w:rsidR="00225F87" w:rsidRDefault="00225F87" w:rsidRPr="002B0D3F">
            <w:pPr>
              <w:keepNext/>
              <w:spacing w:after="120" w:before="120"/>
              <w:ind w:left="113"/>
              <w:rPr>
                <w:rFonts w:ascii="Verdana" w:hAnsi="Verdana"/>
                <w:b/>
                <w:spacing w:val="-10"/>
                <w:szCs w:val="24"/>
              </w:rPr>
            </w:pPr>
            <w:r w:rsidRPr="00187B31">
              <w:rPr>
                <w:rFonts w:ascii="Verdana" w:hAnsi="Verdana"/>
                <w:b/>
              </w:rPr>
              <w:br w:type="page"/>
            </w:r>
            <w:r w:rsidRPr="002B0D3F">
              <w:rPr>
                <w:rFonts w:ascii="Verdana" w:hAnsi="Verdana"/>
                <w:b/>
                <w:spacing w:val="-10"/>
                <w:szCs w:val="24"/>
              </w:rPr>
              <w:t xml:space="preserve">Overview of progress since </w:t>
            </w:r>
            <w:r>
              <w:rPr>
                <w:rFonts w:ascii="Verdana" w:hAnsi="Verdana"/>
                <w:b/>
                <w:spacing w:val="-10"/>
                <w:szCs w:val="24"/>
              </w:rPr>
              <w:t xml:space="preserve">the </w:t>
            </w:r>
            <w:r w:rsidRPr="002B0D3F">
              <w:rPr>
                <w:rFonts w:ascii="Verdana" w:hAnsi="Verdana"/>
                <w:b/>
                <w:spacing w:val="-10"/>
                <w:szCs w:val="24"/>
              </w:rPr>
              <w:t>start of the Action</w:t>
            </w:r>
          </w:p>
          <w:p w:rsidP="00183D92" w:rsidR="00225F87" w:rsidRDefault="00462537" w:rsidRPr="00187B31">
            <w:pPr>
              <w:keepNext/>
              <w:spacing w:after="120" w:before="120"/>
              <w:ind w:left="113"/>
              <w:rPr>
                <w:rFonts w:ascii="Verdana" w:hAnsi="Verdana"/>
                <w:b/>
                <w:spacing w:val="-10"/>
              </w:rPr>
            </w:pPr>
            <w:r w:rsidRPr="00462537">
              <w:rPr>
                <w:rFonts w:ascii="Verdana" w:hAnsi="Verdana"/>
                <w:i/>
                <w:spacing w:val="-10"/>
              </w:rPr>
              <w:t>The overview should include a description of the actual progress of the Action and per activity since the start of the Action until at the end of the previous reporting period, referring to the main issues, milestones and events that affected the progress.</w:t>
            </w:r>
          </w:p>
        </w:tc>
      </w:tr>
      <w:tr w:rsidR="00225F87" w:rsidRPr="00187B31" w:rsidTr="006530A0">
        <w:trPr>
          <w:trHeight w:val="3031"/>
          <w:jc w:val="center"/>
        </w:trPr>
        <w:tc>
          <w:tcPr>
            <w:tcW w:type="dxa" w:w="9594"/>
            <w:tcMar>
              <w:top w:type="dxa" w:w="85"/>
              <w:bottom w:type="dxa" w:w="85"/>
            </w:tcMar>
          </w:tcPr>
          <w:p w:rsidP="00887EE8" w:rsidR="00225F87" w:rsidRDefault="00705BBB" w:rsidRPr="00187B31">
            <w:pPr>
              <w:spacing w:after="120" w:before="120"/>
              <w:ind w:left="113"/>
              <w:rPr>
                <w:rFonts w:ascii="Verdana" w:hAnsi="Verdana"/>
                <w:spacing w:val="-10"/>
              </w:rPr>
            </w:pPr>
            <w:r>
              <w:rPr>
                <w:rFonts w:ascii="Verdana" w:hAnsi="Verdana"/>
                <w:noProof/>
                <w:spacing w:val="-10"/>
              </w:rPr>
              <w:t>Activity 1: Preliminary and detailed/executive</w:t>
              <w:br/>
              <w:t xml:space="preserve">Milestone 1 Preparation of design documentation for territorial decision began (05/12/2019, in GA 05/12/2019) (Annex 14, 15).</w:t>
              <w:br/>
              <w:t xml:space="preserve">Milestone 2 Design documentation for territorial decision(s) (preliminary design) prepared (26/07/2023, in GA 30/06/2023) </w:t>
              <w:br/>
              <w:t xml:space="preserve">The Documentation for the territorial decision was completed on 28/04/2021 (Annex 17), but has since been modified, specifically  to reduce the scope of the construction, due to coordination with the construction of the "ŽSR, Modernization of the railway line Devínska Nová Ves (excl.) - Kúty – state border". The expected delivery date  for the revised part of the  Territorial decision documentation  is 28/04/2023. As part of Milestone 2, in 2022, Valbek SK, spol. s. r. o. (hereinafter referred to as ,,Contractor”) conducted regular monitoring of the project and preparatory works.   These activities included updating the engineering network drawings, updating the preliminary report, updating the schedule and financial plan and harmonizing the documentation with the project ,,Modernisation of two sections of the CZ/SK state border - Devinska Nová Ves railway line”.</w:t>
              <w:br/>
              <w:t xml:space="preserve">In 2023, the Contractor worked on the Documentation of the construction plan/Documentation for the territorial decision of the project, change no. 1, which was caused by the need to coordinate with the related construction "ŽSR, Modernization of the railway line Devínska Nová Ves - state border SR/ČR".</w:t>
              <w:br/>
              <w:t xml:space="preserve">22/6/2023 –Amendment no. 1 to the Contract for the Work was signed</w:t>
              <w:br/>
              <w:t xml:space="preserve">26/06/2023 – The prepared Documentation of the construction plan/Documentation for the territorial decision of the project was handed over, change no. 1. (Annex 20)</w:t>
              <w:br/>
              <w:t xml:space="preserve">The statements of all administrators and concerned authorities necessary for the issuance of a territorial decision were being updated.</w:t>
              <w:br/>
              <w:t xml:space="preserve">27/07/2023 – The contractor, on behalf of the Railways of Slovak Republic builder, submitted a proposal for the issuance of a territorial decision to the Malacky Municipal Office.</w:t>
              <w:br/>
              <w:t xml:space="preserve">In the following months, intensive preparatory work was carried out on the detailed elaboration of the project documentation for the  building permit.  . This involved extensive discussions between the  Contractor and representatives of Railways of Slovak Republic to address individual technical solutions. The proposed solutions were provided to the Bratislava Self-Governing Region, the Trnava Self-Governing Region, administrators and affected municipalities for inspection and comment. Furthermore, consultations on the management of individual buildings were initiated with Bratislava Self-Governing Region, Trnava Self-Governing Region, the municipalities of Moravský svätý Ján and Kuklov. Technical proposals were agreed with the mayors and groups of residents of Malacky, Veľké Leváre, Sekule and Závod.</w:t>
              <w:br/>
              <w:t xml:space="preserve">23/11/2023 – Malacky City Hall issued a public decree on the initiation of territorial proceedings on the location of the building. The Malacky City Hall issued a public decree initiating territorial proceedings regarding the location of the building.</w:t>
              <w:br/>
              <w:t xml:space="preserve">Milestone 4: Preparation of design documentation for building permits and construction execution (detailed/executive design) started (30/09/2023)</w:t>
              <w:br/>
              <w:t xml:space="preserve">17/07/2023 - an invitation to start design work on Documentation of the actual implementation of the construction was sent.</w:t>
              <w:br/>
              <w:t xml:space="preserve">Activity 2: Project management and public procurement </w:t>
              <w:br/>
              <w:t xml:space="preserve">As part of activity 2, the Contract for the project supplier was signed, Contract no. 19BR11001, which was signed on 19/11/2019 as a result of a public contract for the selection of a contract project supplier. The contract was published in the Central Register of Contracts of the Government Office of the Slovak Republic on 19.11.2019 with effect from 20.11.2019 https://www.crz.gov.sk/index.php? ID=4312910&amp;l=sk.</w:t>
              <w:br/>
              <w:t xml:space="preserve">Milestone 10 Public procurement procedure for design contractor published (14/04/2018, in GA 14/04/2018) </w:t>
              <w:br/>
              <w:t xml:space="preserve">The verification of fulfillment - Annex 10.1 and 10.2</w:t>
              <w:br/>
              <w:t xml:space="preserve">Milestone 11: EIA opinion issued (08/03/2018, in GA 08/03/2018)</w:t>
              <w:br/>
              <w:t xml:space="preserve">The verification of fulfillment - Annex 6.1 - 6.4</w:t>
              <w:br/>
              <w:t xml:space="preserve">Milestone 12: Kick-off meeting organised (15/02/2018, in GA 15/02/2018)</w:t>
              <w:br/>
              <w:t xml:space="preserve">The verification of fulfillment - Annex 7</w:t>
              <w:br/>
              <w:t xml:space="preserve">Milestone 13: Communication plan approved (28/06/2018, in GA 28/06/2018)</w:t>
              <w:br/>
              <w:t xml:space="preserve">The verification of fulfillment - Annex 8</w:t>
              <w:br/>
              <w:t xml:space="preserve">Milestone 14: Contract signed for design contractor (19/11/2019, in GA 19/11/2019)</w:t>
              <w:br/>
              <w:t xml:space="preserve">The verification of fulfillment - Annex 12,13</w:t>
            </w:r>
          </w:p>
        </w:tc>
      </w:tr>
    </w:tbl>
    <w:p w:rsidR="000C4B70" w:rsidRDefault="000C4B70">
      <w:pPr>
        <w:spacing w:after="0" w:line="240" w:lineRule="auto"/>
      </w:pPr>
      <w:r>
        <w:br w:type="page"/>
      </w:r>
    </w:p>
    <w:p w:rsidP="00887EE8" w:rsidR="005E6BC3" w:rsidRDefault="005E6BC3">
      <w:pPr>
        <w:spacing w:after="120" w:before="120"/>
        <w:ind w:left="113"/>
        <w:rPr>
          <w:rFonts w:ascii="Verdana" w:hAnsi="Verdana"/>
          <w:b/>
          <w:spacing w:val="-10"/>
        </w:rPr>
        <w:sectPr w:rsidR="005E6BC3" w:rsidSect="00012B21">
          <w:headerReference r:id="rId9" w:type="default"/>
          <w:footerReference r:id="rId10" w:type="default"/>
          <w:pgSz w:h="16838" w:w="11906"/>
          <w:pgMar w:bottom="1440" w:footer="709" w:gutter="0" w:header="709" w:left="1440" w:right="1440" w:top="737"/>
          <w:cols w:space="708"/>
          <w:titlePg/>
          <w:docGrid w:linePitch="360"/>
        </w:sectPr>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14877"/>
      </w:tblGrid>
      <w:tr w:rsidR="000C4B70" w:rsidRPr="00187B31" w:rsidTr="000C4B70">
        <w:trPr>
          <w:trHeight w:val="408"/>
          <w:jc w:val="center"/>
        </w:trPr>
        <w:tc>
          <w:tcPr>
            <w:tcW w:type="dxa" w:w="9594"/>
            <w:shd w:color="auto" w:fill="99CCFF" w:val="clear"/>
          </w:tcPr>
          <w:p w:rsidP="00887EE8" w:rsidR="000C4B70" w:rsidRDefault="000C4B70" w:rsidRPr="00187B31">
            <w:pPr>
              <w:spacing w:after="120" w:before="120"/>
              <w:ind w:left="113"/>
              <w:rPr>
                <w:rFonts w:ascii="Verdana" w:hAnsi="Verdana"/>
                <w:b/>
                <w:spacing w:val="-10"/>
              </w:rPr>
            </w:pPr>
            <w:r w:rsidRPr="00187B31">
              <w:rPr>
                <w:rFonts w:ascii="Verdana" w:hAnsi="Verdana"/>
                <w:b/>
                <w:spacing w:val="-10"/>
              </w:rPr>
              <w:lastRenderedPageBreak/>
              <w:t>2</w:t>
            </w:r>
            <w:r>
              <w:rPr>
                <w:rFonts w:ascii="Verdana" w:hAnsi="Verdana"/>
                <w:b/>
                <w:spacing w:val="-10"/>
              </w:rPr>
              <w:t>.2</w:t>
            </w:r>
            <w:r w:rsidRPr="00187B31">
              <w:rPr>
                <w:rFonts w:ascii="Verdana" w:hAnsi="Verdana"/>
                <w:b/>
                <w:spacing w:val="-10"/>
              </w:rPr>
              <w:t xml:space="preserve">. </w:t>
            </w:r>
            <w:r>
              <w:rPr>
                <w:rFonts w:ascii="Verdana" w:hAnsi="Verdana"/>
                <w:b/>
                <w:spacing w:val="-10"/>
              </w:rPr>
              <w:t>Progress</w:t>
            </w:r>
            <w:r w:rsidRPr="00187B31">
              <w:rPr>
                <w:rFonts w:ascii="Verdana" w:hAnsi="Verdana"/>
                <w:b/>
                <w:spacing w:val="-10"/>
              </w:rPr>
              <w:t xml:space="preserve"> per activity </w:t>
            </w:r>
          </w:p>
        </w:tc>
      </w:tr>
    </w:tbl>
    <w:p w:rsidR="00F51FEF" w:rsidRDefault="00E32B6D">
      <w:r w:rsidR="00961318">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1</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Preliminary and detailed/executive design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05/12/2019</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05/12/2019</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05/12/2019</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62.00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Total technical progress has the following weighted technical progress, expressed as a percentage: M1 is reached (total value of the Milestone in Activity is 1%), M2- is reached (total value of the Milestone in Activity is 35%), M4 is reached (total value of the Milestone in Activity 1%) and M5-25% (total value of the Milestone in Activity is 40%)</w:t>
              <w:br/>
              <w:t xml:space="preserve"/>
              <w:br/>
              <w:t xml:space="preserve">The technical progress achieved at the end of the previous reporting period is 62% The methodology for calculating this value is based on the weighted technical progress indicated as a percentage (Annex 1.1).</w:t>
              <w:br/>
              <w:t xml:space="preserve"/>
              <w:br/>
              <w:t xml:space="preserve">The methodology was chosen and applied in all previously submitted ASRs, as in projects of this kind, financial progress never really corresponds to technical progress.</w:t>
              <w:br/>
              <w:t xml:space="preserve"/>
              <w:br/>
              <w:t xml:space="preserve">The percentage figures for the technical progress of the milestones and activities are shown in Table 1 in Annex 1.</w:t>
              <w:br/>
              <w:t xml:space="preserve"/>
              <w:br/>
              <w:t xml:space="preserve">Cumulative technical progress of the action, including planned technical progress, is also attached in Annex 2 and Annex 9.</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Preparation of design documentation for territorial decision (preliminary design) started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05/12/2019</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05/12/2019</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05/12/2019</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Design documentation for territorial decision (preliminary design) prepared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28/04/2023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26/07/2023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occurred due to the need to process technical changes in documentation and subsequent legislative processes due to coordination with the project: ,,Modernisation of two sections of the CZ/SK state border - Devinska Nová Ves railway line”</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Territorial decision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11/03/2024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All documents and consent opinions were available at the Municipal Office in Malacky. Territorial decision was issued on 11/03/2024 (Annex 19)</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Preparation of design documentation for building permits and construction execution (detailed/executive design) started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30/09/2023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30/09/2023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30/09/2023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Draft design documentation for building permits and construction execution (detailed/executive design) prepared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30/11/2023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30/11/2023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29/04/2024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project documentation is in a phase where, after the conference discussions, it will be able to be handed over. It is related to Milestone 4. In February 2024, final meetings took place between the Contractor, the relevant departments of Railways of Slovak Republic, Bratislava Self-Governing Region and the Trnava Self-Governing Region. We anticipate  meeting the milestone on 29/04/2024,  at which point all possible comments will be incorporated and  the finalized documentation will be handed over.</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Approval decision of Ministry of Transport to Design documentation for building permits and construction execution (detailed/executive design)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11/07/2024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Related to Milestone 5.</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Application for first building permit submitted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16/01/2024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16/01/2024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31/07/2024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Related to Milestone 5.</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First building permit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29/03/2024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29/03/2024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31/08/2024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Related to Milestone 5. Obtaining construction permits, depends entirely on the length and overall progress of the property-legal settlement.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Last building permit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03/12/2024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Related to Milestone 5. Obtaining construction permits, depends entirely on the length and overall progress of the property-legal settlement.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2</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Project management and public procurement</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07/02/2017</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07/02/2017</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07/02/2017</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95.00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Total technical progress has the following weighted technical progress, expressed as a percentage: M10 is reached (30% of the total Activity value), M11 is reached (20% of the total Activity value), M12 is reached (5% of the total Activity value), M13 is met at (10% of the total Activity value), M14 is reached (30% of the total value per Activity per Milestone).</w:t>
              <w:br/>
              <w:t xml:space="preserve"/>
              <w:br/>
              <w:t xml:space="preserve">The technical progress achieved at the end of the previous reporting period is 95%. The methodology for calculating this value is based on the weighted technical progress indicated as a percentage.  (Annex 1.1)</w:t>
              <w:br/>
              <w:t xml:space="preserve"/>
              <w:br/>
              <w:t xml:space="preserve">The methodology was chosen and applied in all previously submitted ASRs, as in projects of this kind, financial progress never really corresponds to technical progress.</w:t>
              <w:br/>
              <w:t xml:space="preserve"/>
              <w:br/>
              <w:t xml:space="preserve">The percentage figures for the technical progress of the milestones and activities are shown in Table 1 in Annex 1.</w:t>
              <w:br/>
              <w:t xml:space="preserve"/>
              <w:br/>
              <w:t xml:space="preserve">Cumulative technical progress of the action, including planned technical progress, is also attached in Annex 2 and Annex 9.</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10</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Public procurement procedure for design contractor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14/04/2018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14/04/2018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14/04/2018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Verification of fulfillment - Annex 10.1 and 10.2</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EIA opinion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08/03/2018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08/03/2018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08/03/2018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verification of fulfillment - Annex 6.1 - 6.4</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Kick-off meeting organised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15/02/2018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15/02/2018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15/02/2018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verification of fulfillment - Annex 7</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Communication plan approved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verification of fulfillment - Annex 8</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Contract signed for design contractor</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19/11/2019</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19/11/2019</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19/11/2019</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verification of fulfillment - Annex 12,13</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Final meeting organised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This milestone will be reached only after all remaining milestones are met.</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p>
    <w:p w:rsidR="000C4B70" w:rsidRDefault="000C4B7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C4B70" w:rsidRPr="00187B31" w:rsidTr="000C4B70">
        <w:trPr>
          <w:trHeight w:val="264"/>
          <w:jc w:val="center"/>
        </w:trPr>
        <w:tc>
          <w:tcPr>
            <w:tcW w:type="dxa" w:w="9594"/>
            <w:shd w:color="auto" w:fill="99CCFF" w:val="clear"/>
            <w:tcMar>
              <w:top w:type="dxa" w:w="85"/>
              <w:bottom w:type="dxa" w:w="85"/>
            </w:tcMar>
          </w:tcPr>
          <w:p w:rsidP="00086FAC" w:rsidR="000C4B70" w:rsidRDefault="000C4B70" w:rsidRPr="00950F3B">
            <w:pPr>
              <w:keepNext/>
              <w:spacing w:after="120" w:before="120"/>
              <w:ind w:left="113"/>
              <w:rPr>
                <w:rFonts w:ascii="Verdana" w:hAnsi="Verdana"/>
                <w:b/>
                <w:spacing w:val="-10"/>
              </w:rPr>
            </w:pPr>
            <w:r w:rsidRPr="00950F3B">
              <w:rPr>
                <w:rFonts w:ascii="Verdana" w:hAnsi="Verdana"/>
                <w:b/>
              </w:rPr>
              <w:br w:type="page"/>
            </w:r>
            <w:r w:rsidR="00950F3B" w:rsidRPr="00950F3B">
              <w:rPr>
                <w:rFonts w:ascii="Verdana" w:hAnsi="Verdana"/>
                <w:b/>
                <w:spacing w:val="-10"/>
              </w:rPr>
              <w:t xml:space="preserve">2.3 </w:t>
            </w:r>
            <w:r w:rsidR="007B7FD1">
              <w:rPr>
                <w:rFonts w:ascii="Verdana" w:hAnsi="Verdana"/>
                <w:b/>
                <w:spacing w:val="-10"/>
              </w:rPr>
              <w:t>If total actual costs/units deviates</w:t>
            </w:r>
            <w:r w:rsidR="00950F3B" w:rsidRPr="00950F3B">
              <w:rPr>
                <w:rFonts w:ascii="Verdana" w:hAnsi="Verdana"/>
                <w:b/>
                <w:spacing w:val="-10"/>
              </w:rPr>
              <w:t xml:space="preserve"> </w:t>
            </w:r>
            <w:r w:rsidR="00950F3B" w:rsidRPr="007B7FD1">
              <w:rPr>
                <w:rFonts w:ascii="Verdana" w:hAnsi="Verdana"/>
                <w:b/>
                <w:spacing w:val="-10"/>
              </w:rPr>
              <w:t>&gt;5%</w:t>
            </w:r>
            <w:r w:rsidR="00950F3B" w:rsidRPr="00950F3B">
              <w:rPr>
                <w:rFonts w:ascii="Verdana" w:hAnsi="Verdana"/>
                <w:b/>
                <w:spacing w:val="-10"/>
              </w:rPr>
              <w:t xml:space="preserve"> </w:t>
            </w:r>
            <w:r w:rsidR="007B7FD1">
              <w:rPr>
                <w:rFonts w:ascii="Verdana" w:hAnsi="Verdana"/>
                <w:b/>
                <w:spacing w:val="-10"/>
              </w:rPr>
              <w:t>compared to latest Grant Agreement in force, please explain why</w:t>
            </w:r>
          </w:p>
        </w:tc>
      </w:tr>
      <w:tr w:rsidR="000C4B70" w:rsidRPr="00187B31" w:rsidTr="000C4B70">
        <w:trPr>
          <w:trHeight w:val="1046"/>
          <w:jc w:val="center"/>
        </w:trPr>
        <w:tc>
          <w:tcPr>
            <w:tcW w:type="dxa" w:w="9594"/>
            <w:tcMar>
              <w:top w:type="dxa" w:w="85"/>
              <w:bottom w:type="dxa" w:w="85"/>
            </w:tcMar>
          </w:tcPr>
          <w:p w:rsidP="009A6BA9" w:rsidR="009A6BA9" w:rsidRDefault="00E035B3" w:rsidRPr="003B7434">
            <w:pPr>
              <w:spacing w:after="0" w:line="240" w:lineRule="auto"/>
            </w:pPr>
            <w:r w:rsidR="009A6BA9">
              <w:rPr>
                <w:noProof/>
              </w:rPr>
              <w:t/>
            </w:r>
            <w:r w:rsidR="009A6BA9">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1</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Preliminary and detailed/executive design</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The difference in current costs for activity 1 of -10.08 % is due to the fact that the actual costs are based on a contract price that is lower than the estimated costs presented in Grant Agreement.</w:t>
            </w:r>
          </w:p>
          <w:p w:rsidP="009A6BA9" w:rsidR="000C4B70" w:rsidRDefault="009A6BA9" w:rsidRPr="00300013">
            <w:pPr>
              <w:spacing w:after="0"/>
            </w:pPr>
            <w:r w:rsidRPr="00665206">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2</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Project management and public procurement</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The difference in current costs of – 97,79  % is due to the fact that the actual costs are based on a contract price that is lower than the estimated costs presented in Grant Agreement.</w:t>
            </w:r>
          </w:p>
          <w:p w:rsidP="009A6BA9" w:rsidR="000C4B70" w:rsidRDefault="009A6BA9" w:rsidRPr="00300013">
            <w:pPr>
              <w:spacing w:after="0"/>
            </w:pPr>
            <w:r w:rsidRPr="00665206">
              <w:rPr>
                <w:noProof/>
              </w:rPr>
              <w:t/>
            </w:r>
            <w:r>
              <w:rPr>
                <w:noProof/>
              </w:rPr>
              <w:t/>
            </w:r>
            <w:r w:rsidRPr="000D689C">
              <w:rPr>
                <w:noProof/>
              </w:rPr>
              <w:t/>
            </w:r>
          </w:p>
        </w:tc>
      </w:tr>
    </w:tbl>
    <w:p w:rsidR="00AB36AE" w:rsidRDefault="00AB36A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40170C" w:rsidRPr="00187B31" w:rsidTr="00CB6370">
        <w:trPr>
          <w:trHeight w:val="264"/>
          <w:jc w:val="center"/>
        </w:trPr>
        <w:tc>
          <w:tcPr>
            <w:tcW w:type="dxa" w:w="9594"/>
            <w:shd w:color="auto" w:fill="99CCFF" w:val="clear"/>
            <w:tcMar>
              <w:top w:type="dxa" w:w="85"/>
              <w:bottom w:type="dxa" w:w="85"/>
            </w:tcMar>
          </w:tcPr>
          <w:p w:rsidP="002A0EA4" w:rsidR="002A0EA4" w:rsidRDefault="002A0EA4">
            <w:pPr>
              <w:keepNext/>
              <w:spacing w:after="120" w:before="120"/>
              <w:ind w:left="113"/>
              <w:rPr>
                <w:rFonts w:ascii="Verdana" w:hAnsi="Verdana"/>
                <w:b/>
                <w:spacing w:val="-10"/>
                <w:u w:val="single"/>
              </w:rPr>
            </w:pPr>
            <w:r w:rsidRPr="002A0EA4">
              <w:rPr>
                <w:rFonts w:ascii="Verdana" w:hAnsi="Verdana"/>
                <w:b/>
                <w:spacing w:val="-10"/>
              </w:rPr>
              <w:t xml:space="preserve">2.4. Description of the Action's and activities' progress planned </w:t>
            </w:r>
            <w:r w:rsidRPr="002A0EA4">
              <w:rPr>
                <w:rFonts w:ascii="Verdana" w:hAnsi="Verdana"/>
                <w:b/>
                <w:spacing w:val="-10"/>
                <w:u w:val="single"/>
              </w:rPr>
              <w:t>in the on-going reporting period and until the end of implementation of the Action</w:t>
            </w:r>
          </w:p>
          <w:p w:rsidP="002A0EA4" w:rsidR="009C0B54" w:rsidRDefault="009C0B54" w:rsidRPr="002A0EA4">
            <w:pPr>
              <w:keepNext/>
              <w:spacing w:after="120" w:before="120"/>
              <w:ind w:left="113"/>
              <w:rPr>
                <w:rFonts w:ascii="Verdana" w:hAnsi="Verdana"/>
                <w:b/>
                <w:spacing w:val="-10"/>
                <w:u w:val="single"/>
              </w:rPr>
            </w:pPr>
          </w:p>
          <w:p w:rsidP="002A0EA4" w:rsidR="002A0EA4" w:rsidRDefault="009C0B54" w:rsidRPr="002A0EA4">
            <w:pPr>
              <w:keepNext/>
              <w:spacing w:after="120" w:before="120"/>
              <w:rPr>
                <w:rFonts w:ascii="Verdana" w:hAnsi="Verdana"/>
                <w:i/>
                <w:spacing w:val="-10"/>
              </w:rPr>
            </w:pPr>
            <w:r>
              <w:rPr>
                <w:rFonts w:ascii="Verdana" w:hAnsi="Verdana"/>
                <w:i/>
                <w:spacing w:val="-10"/>
              </w:rPr>
              <w:t>a) Provide a description of the</w:t>
            </w:r>
            <w:r w:rsidR="002A0EA4" w:rsidRPr="002A0EA4">
              <w:rPr>
                <w:rFonts w:ascii="Verdana" w:hAnsi="Verdana"/>
                <w:i/>
                <w:spacing w:val="-10"/>
              </w:rPr>
              <w:t xml:space="preserve"> planned progress of the activities in the on-going reporting period and, where applicable, beyond the on-going reporting period up until the end of the implementation of the Action (if the on-going reporting period is not the last one). </w:t>
            </w:r>
          </w:p>
          <w:p w:rsidP="002A0EA4" w:rsidR="002A0EA4" w:rsidRDefault="002A0EA4" w:rsidRPr="002A0EA4">
            <w:pPr>
              <w:keepNext/>
              <w:spacing w:after="120" w:before="120"/>
              <w:rPr>
                <w:rFonts w:ascii="Verdana" w:hAnsi="Verdana"/>
                <w:i/>
                <w:spacing w:val="-10"/>
              </w:rPr>
            </w:pPr>
            <w:r w:rsidRPr="002A0EA4">
              <w:rPr>
                <w:rFonts w:ascii="Verdana" w:hAnsi="Verdana"/>
                <w:i/>
                <w:spacing w:val="-10"/>
              </w:rPr>
              <w:t xml:space="preserve">b) Highlight and explain any deviation (e.g. on objectives of the Action, the completion of the planned activities, the cost-breakdown, Action's end date, etc.) in comparison to the latest grant agreement in force and, where applicable, latest ASR. </w:t>
            </w:r>
          </w:p>
          <w:p w:rsidP="002A0EA4" w:rsidR="0040170C" w:rsidRDefault="002A0EA4" w:rsidRPr="002A0EA4">
            <w:pPr>
              <w:keepNext/>
              <w:spacing w:after="120" w:before="120"/>
              <w:rPr>
                <w:rFonts w:ascii="Verdana" w:hAnsi="Verdana"/>
                <w:b/>
                <w:spacing w:val="-10"/>
              </w:rPr>
            </w:pPr>
            <w:r w:rsidRPr="002A0EA4">
              <w:rPr>
                <w:rFonts w:ascii="Verdana" w:hAnsi="Verdana"/>
                <w:i/>
                <w:spacing w:val="-10"/>
              </w:rPr>
              <w:t>c) Identify any expected/foreseen risk(s) that may challenge the actual end date of the Action and the associated mitigation plan(s).</w:t>
            </w:r>
          </w:p>
        </w:tc>
      </w:tr>
      <w:tr w:rsidR="0040170C" w:rsidRPr="00187B31" w:rsidTr="00CB6370">
        <w:trPr>
          <w:trHeight w:val="2440"/>
          <w:jc w:val="center"/>
        </w:trPr>
        <w:tc>
          <w:tcPr>
            <w:tcW w:type="dxa" w:w="9594"/>
            <w:tcMar>
              <w:top w:type="dxa" w:w="85"/>
              <w:bottom w:type="dxa" w:w="85"/>
            </w:tcMar>
          </w:tcPr>
          <w:p w:rsidP="0061142E" w:rsidR="0040170C" w:rsidRDefault="00A52058" w:rsidRPr="00187B31">
            <w:pPr>
              <w:spacing w:after="120" w:before="120"/>
              <w:ind w:left="113"/>
              <w:rPr>
                <w:rFonts w:ascii="Verdana" w:hAnsi="Verdana"/>
                <w:spacing w:val="-10"/>
              </w:rPr>
            </w:pPr>
            <w:r>
              <w:rPr>
                <w:rFonts w:ascii="Verdana" w:hAnsi="Verdana"/>
                <w:noProof/>
                <w:spacing w:val="-10"/>
              </w:rPr>
              <w:t>a)</w:t>
              <w:tab/>
              <w:t xml:space="preserve">Planned progress of the activities</w:t>
              <w:br/>
              <w:t xml:space="preserve">Activity 1: Preliminary and detailed/executive design</w:t>
              <w:br/>
              <w:t xml:space="preserve">Milestone 3: Territorial decision(s) issued (11/03/2024, in GA 31/08/2023)</w:t>
              <w:br/>
              <w:t xml:space="preserve">The territorial decision was expected to be issued by the end of February 2024. This Milestone was reached at the beginning of 2024 and the territorial decision was issued on 11/03/2024 (Annex 19).</w:t>
              <w:br/>
              <w:t xml:space="preserve">Milestone 5: Draft design documentation for building permits and construction execution (detailed/executive design) prepared (29/04/2024, in GA 30/11/2023)</w:t>
              <w:br/>
              <w:t xml:space="preserve">It is related to Milestone 4. In February 2024, final meetings took place between the Contractor, the relevant departments of Railways of Slovak Republic, Bratislava Self-Governing Region and the Trnava Self-Governing Region. On March 27, 2024, design work was underway to finalize the documentation for the building permit and construction implementation. In case of any comments from the territorial decision, these will be incorporated.  We expect the milestone to be met on 29/04/2024, when all possible comments will be incorporated and then the finalized documentation will be handed over. All other milestones are directly dependent on this milestone.</w:t>
              <w:br/>
              <w:t xml:space="preserve">Milestone 6: Approval decision of Ministry of Transport to Design documentation for building permits and construction execution (detailed/executive design) issued (11/07/2024, in GA 31/12/2023)</w:t>
              <w:br/>
              <w:t xml:space="preserve">Related to Milestone 5.</w:t>
              <w:br/>
              <w:t xml:space="preserve">Milestone 7: Application for first building permit submitted (31/07/2024, in GA 16/01/2024)</w:t>
              <w:br/>
              <w:t xml:space="preserve">Related to Milestone 5.</w:t>
              <w:br/>
              <w:t xml:space="preserve">Milestone 8: First building permit issued (31/08/2024, in GA 29/03/2024)</w:t>
              <w:br/>
              <w:t xml:space="preserve">Related to Milestone 5.</w:t>
              <w:br/>
              <w:t xml:space="preserve">Milestone 9: Last building permit issued (30/11/2025, in GA 31/12/2024)</w:t>
              <w:br/>
              <w:t xml:space="preserve">Related to Milestone 5, for each part, 5 building permits will be required, resulting in a total of  25 building permits. Several authorities are involved in the process of obtaining construction permits, including the Railway Construction Office, local building authorities (in the case of properties administered by cities and municipalities) and  the Ministry of Transport of the Slovak Republic. By the end of 2024, we expect to obtain eight building permits from local building authorities such as Environmental Office. We anticipate obtaining the remaining building permits (17 in total) issued by the Railway Construction Authority and local building authorities by November 2025. However, obtaining the remaining construction permits fully depends on the length and overall progress of the property-legal settlement. </w:t>
              <w:br/>
              <w:t xml:space="preserve">The fulfillment of the above-mentioned milestones is directly related to the fulfillment of milestones 3, 4 and 5 and we plan to implement them according to the current Gantt chart (Annex 4).</w:t>
              <w:br/>
              <w:t xml:space="preserve">Activity 2: Project management and public procurement</w:t>
              <w:br/>
              <w:t xml:space="preserve">All milestones under Activity 2 were achieved during the reporting period except for Milestone 15: Final meeting organised (31/12/2024, in GA 31/12/2024) </w:t>
              <w:br/>
              <w:t xml:space="preserve">We expect the milestone to be met by 31/12/2024.</w:t>
              <w:br/>
              <w:t xml:space="preserve">b)</w:t>
              <w:tab/>
              <w:t xml:space="preserve">Highlight and explain any deviation in comparison to the latest grant agreement</w:t>
              <w:br/>
              <w:t xml:space="preserve">Activity 1: Preliminary and detailed/executive design</w:t>
              <w:br/>
              <w:t xml:space="preserve">Due to the delay of Milestone 2, the planned end date of the action was significantly moved, compared to the original date, planned in the grant agreement no. INEA/CEF/TRAN/M2016/1356385.</w:t>
              <w:br/>
              <w:t xml:space="preserve">In the case of Milestone 3, the start of territorial proceedings was set for January 16, 2024, which moved the date of the issued territorial decision. This was caused by the delay in statements from the competent authorities, which were necessary for the initiation of territorial proceedings. All other milestones closely follow the delay of this Milestone. </w:t>
              <w:br/>
              <w:t xml:space="preserve">However, the objectives of the action remain unchanged.</w:t>
              <w:br/>
              <w:t xml:space="preserve">Activity 2: Project management and public procurement</w:t>
              <w:br/>
              <w:t xml:space="preserve">The only remaining milestone in Activity 2 is the Milestone 15, the completion of which depends on the completion of all remaining milestones.</w:t>
              <w:br/>
              <w:t xml:space="preserve"/>
              <w:br/>
              <w:t xml:space="preserve">c)</w:t>
              <w:tab/>
              <w:t xml:space="preserve">Expected/foreseen risk(s)</w:t>
              <w:br/>
              <w:t xml:space="preserve">Activity 1: Preliminary and detailed/executive design</w:t>
              <w:br/>
              <w:t xml:space="preserve">Among the other serious reasons causing the delay in the implementation of the project, we consider:</w:t>
              <w:br/>
              <w:t xml:space="preserve">-</w:t>
              <w:tab/>
              <w:t xml:space="preserve"> the long-lasting legislative and administrative processes of the competent authorities, when it was necessary to incorporate all comments into the documentation, as well as the need to comply with the deadlines set by law in the process of approving the documentation,</w:t>
              <w:br/>
              <w:t xml:space="preserve">-</w:t>
              <w:tab/>
              <w:t xml:space="preserve">property  legal settlement and delay of statements of relevant authorities - before issuing a building permit, it is necessary, in accordance with SR legislation, to prove the relationship of the constructor e. i. Railways of the Slovak republic to the land that will be affected by the construction, unfortunately the competent authorities do not have time to take the necessary steps,</w:t>
              <w:br/>
              <w:t xml:space="preserve">-</w:t>
              <w:tab/>
              <w:t xml:space="preserve">insufficient progress by the contractor.</w:t>
              <w:br/>
              <w:t xml:space="preserve">A risk within Activity 1 is the unreasonably long territorial process due to the requirements of local and regional governments beyond the scope of the project.   Additionally, disproportionately long building permits processes may occur due to the location of the building on land outside the property of the Railways of the Slovak Republic,  leading to an extension of the time needed to reach an agreement with property owners.</w:t>
              <w:br/>
              <w:t xml:space="preserve">Activity 2: Project management and public procurement</w:t>
              <w:br/>
              <w:t xml:space="preserve">All milestones under Activity 2 were achieved during the reporting period except for Milestone 15.</w:t>
            </w:r>
          </w:p>
        </w:tc>
      </w:tr>
    </w:tbl>
    <w:p w:rsidR="00C12C1A" w:rsidRDefault="00C12C1A"/>
    <w:p w:rsidR="00315323" w:rsidRDefault="00315323">
      <w:pPr>
        <w:spacing w:after="0" w:line="240" w:lineRule="auto"/>
      </w:pPr>
      <w:r>
        <w:br w:type="page"/>
      </w:r>
    </w:p>
    <w:p w:rsidR="0040170C" w:rsidRDefault="0040170C"/>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8280C">
        <w:trPr>
          <w:trHeight w:val="412"/>
          <w:jc w:val="center"/>
        </w:trPr>
        <w:tc>
          <w:tcPr>
            <w:tcW w:type="dxa" w:w="9594"/>
            <w:shd w:color="auto" w:fill="99CCFF" w:val="clear"/>
            <w:tcMar>
              <w:top w:type="dxa" w:w="113"/>
              <w:bottom w:type="dxa" w:w="113"/>
            </w:tcMar>
          </w:tcPr>
          <w:p w:rsidP="0018280C" w:rsidR="00315323" w:rsidRDefault="00315323" w:rsidRPr="00FA3FBF">
            <w:pPr>
              <w:snapToGrid w:val="0"/>
              <w:spacing w:after="120" w:before="120"/>
              <w:ind w:left="113" w:right="-19"/>
              <w:rPr>
                <w:rFonts w:ascii="Verdana" w:hAnsi="Verdana"/>
                <w:b/>
                <w:spacing w:val="-10"/>
                <w:sz w:val="32"/>
                <w:szCs w:val="32"/>
              </w:rPr>
            </w:pPr>
            <w:r w:rsidRPr="00FA3FBF">
              <w:rPr>
                <w:rFonts w:ascii="Verdana" w:hAnsi="Verdana"/>
                <w:b/>
                <w:spacing w:val="-10"/>
                <w:sz w:val="32"/>
                <w:szCs w:val="32"/>
              </w:rPr>
              <w:t xml:space="preserve">3. </w:t>
            </w:r>
            <w:r w:rsidRPr="00187B31">
              <w:rPr>
                <w:rFonts w:ascii="Verdana" w:hAnsi="Verdana"/>
                <w:b/>
                <w:spacing w:val="-10"/>
                <w:sz w:val="18"/>
              </w:rPr>
              <w:t xml:space="preserve"> </w:t>
            </w:r>
            <w:r w:rsidRPr="00187B31">
              <w:rPr>
                <w:rFonts w:ascii="Verdana" w:hAnsi="Verdana"/>
                <w:b/>
                <w:spacing w:val="-10"/>
                <w:sz w:val="32"/>
                <w:szCs w:val="32"/>
              </w:rPr>
              <w:t>VISIBILITY OF UNION FUNDING</w:t>
            </w:r>
            <w:r>
              <w:rPr>
                <w:rFonts w:ascii="Verdana" w:hAnsi="Verdana"/>
                <w:b/>
                <w:spacing w:val="-10"/>
                <w:sz w:val="32"/>
                <w:szCs w:val="32"/>
              </w:rPr>
              <w:t xml:space="preserve"> </w:t>
            </w:r>
            <w:r w:rsidRPr="006A511D">
              <w:rPr>
                <w:rFonts w:ascii="Verdana" w:hAnsi="Verdana"/>
                <w:b/>
                <w:spacing w:val="-10"/>
                <w:sz w:val="24"/>
                <w:szCs w:val="32"/>
              </w:rPr>
              <w:t>(GA II.23.1.1.i</w:t>
            </w:r>
            <w:r>
              <w:rPr>
                <w:rFonts w:ascii="Verdana" w:hAnsi="Verdana"/>
                <w:b/>
                <w:spacing w:val="-10"/>
                <w:sz w:val="24"/>
                <w:szCs w:val="32"/>
              </w:rPr>
              <w:t xml:space="preserve">   or SESAR FPA II.23.1b.i</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BF4E76">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sidRPr="00187B31">
              <w:rPr>
                <w:rFonts w:ascii="Verdana" w:hAnsi="Verdana"/>
                <w:b/>
                <w:spacing w:val="-10"/>
              </w:rPr>
              <w:t xml:space="preserve">What measures have been taken </w:t>
            </w:r>
            <w:r>
              <w:rPr>
                <w:rFonts w:ascii="Verdana" w:hAnsi="Verdana"/>
                <w:b/>
                <w:spacing w:val="-10"/>
              </w:rPr>
              <w:t>within the</w:t>
            </w:r>
            <w:r w:rsidR="002E2FFD">
              <w:rPr>
                <w:rFonts w:ascii="Verdana" w:hAnsi="Verdana"/>
                <w:b/>
                <w:spacing w:val="-10"/>
              </w:rPr>
              <w:t xml:space="preserve"> previous</w:t>
            </w:r>
            <w:r>
              <w:rPr>
                <w:rFonts w:ascii="Verdana" w:hAnsi="Verdana"/>
                <w:b/>
                <w:spacing w:val="-10"/>
              </w:rPr>
              <w:t xml:space="preserve"> reporting period </w:t>
            </w:r>
            <w:r w:rsidR="00462537">
              <w:rPr>
                <w:rFonts w:ascii="Verdana" w:hAnsi="Verdana"/>
                <w:b/>
                <w:spacing w:val="-10"/>
              </w:rPr>
              <w:t>to publicis</w:t>
            </w:r>
            <w:r w:rsidRPr="00187B31">
              <w:rPr>
                <w:rFonts w:ascii="Verdana" w:hAnsi="Verdana"/>
                <w:b/>
                <w:spacing w:val="-10"/>
              </w:rPr>
              <w:t>e the Action,</w:t>
            </w:r>
            <w:r>
              <w:rPr>
                <w:rFonts w:ascii="Verdana" w:hAnsi="Verdana"/>
                <w:b/>
                <w:spacing w:val="-10"/>
              </w:rPr>
              <w:t xml:space="preserve"> including EU</w:t>
            </w:r>
            <w:r w:rsidRPr="00187B31">
              <w:rPr>
                <w:rFonts w:ascii="Verdana" w:hAnsi="Verdana"/>
                <w:b/>
                <w:spacing w:val="-10"/>
              </w:rPr>
              <w:t xml:space="preserve"> funding (GA II.7.1)?</w:t>
            </w:r>
          </w:p>
        </w:tc>
      </w:tr>
      <w:tr w:rsidR="00315323" w:rsidRPr="00187B31" w:rsidTr="00BF4E76">
        <w:trPr>
          <w:trHeight w:val="1669"/>
          <w:jc w:val="center"/>
        </w:trPr>
        <w:tc>
          <w:tcPr>
            <w:tcW w:type="dxa" w:w="9594"/>
            <w:tcMar>
              <w:top w:type="dxa" w:w="85"/>
              <w:bottom w:type="dxa" w:w="85"/>
            </w:tcMar>
          </w:tcPr>
          <w:p w:rsidP="0061142E" w:rsidR="00315323" w:rsidRDefault="00136AD4" w:rsidRPr="00187B31">
            <w:pPr>
              <w:spacing w:after="120" w:before="120"/>
              <w:ind w:left="113"/>
              <w:rPr>
                <w:rFonts w:ascii="Verdana" w:hAnsi="Verdana"/>
                <w:spacing w:val="-10"/>
              </w:rPr>
            </w:pPr>
            <w:r>
              <w:rPr>
                <w:rFonts w:ascii="Verdana" w:hAnsi="Verdana"/>
                <w:noProof/>
                <w:spacing w:val="-10"/>
              </w:rPr>
              <w:t>Information on this project is published on the official website of ŽSR in the section: Verejnosť a médiá / Modernizácia tratí / Projekty spolufinancované EÚ / Stavby v realizácii /Modernizácia železničnej trate Devínska Nová Ves – štátna hranica SR/ČR, úsek Malacky– Kúty , hyperlink: www.zsr.sk/5776, to ensure a fair and high visibility of EU co-financing.</w:t>
              <w:br/>
              <w:t xml:space="preserve">Information about the project is updated four times a year (31 March, 30 June, 30 September and 31 December) (see Annex 16.1).</w:t>
            </w:r>
          </w:p>
        </w:tc>
      </w:tr>
    </w:tbl>
    <w:p w:rsidR="00315323" w:rsidRDefault="00315323"/>
    <w:p w:rsidR="00315323" w:rsidRDefault="00315323"/>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12088">
        <w:trPr>
          <w:trHeight w:val="412"/>
        </w:trPr>
        <w:tc>
          <w:tcPr>
            <w:tcW w:type="dxa" w:w="9594"/>
            <w:shd w:color="auto" w:fill="99CCFF" w:val="clear"/>
            <w:tcMar>
              <w:top w:type="dxa" w:w="113"/>
              <w:bottom w:type="dxa" w:w="113"/>
            </w:tcMar>
          </w:tcPr>
          <w:p w:rsidP="00887EE8" w:rsidR="00315323" w:rsidRDefault="00315323" w:rsidRPr="00E14AB2">
            <w:pPr>
              <w:snapToGrid w:val="0"/>
              <w:spacing w:after="120" w:before="120"/>
              <w:ind w:left="113" w:right="-19"/>
              <w:rPr>
                <w:rFonts w:ascii="Verdana" w:hAnsi="Verdana"/>
                <w:b/>
                <w:spacing w:val="-10"/>
                <w:sz w:val="32"/>
                <w:szCs w:val="32"/>
              </w:rPr>
            </w:pPr>
            <w:r w:rsidRPr="00E14AB2">
              <w:rPr>
                <w:rFonts w:ascii="Verdana" w:hAnsi="Verdana"/>
                <w:b/>
                <w:spacing w:val="-10"/>
                <w:sz w:val="32"/>
                <w:szCs w:val="32"/>
              </w:rPr>
              <w:t xml:space="preserve">4. </w:t>
            </w:r>
            <w:r w:rsidRPr="00187B31">
              <w:rPr>
                <w:rFonts w:ascii="Verdana" w:hAnsi="Verdana"/>
                <w:b/>
                <w:spacing w:val="-10"/>
                <w:sz w:val="18"/>
              </w:rPr>
              <w:t xml:space="preserve"> </w:t>
            </w:r>
            <w:r>
              <w:rPr>
                <w:rFonts w:ascii="Verdana" w:hAnsi="Verdana"/>
                <w:b/>
                <w:spacing w:val="-10"/>
                <w:sz w:val="32"/>
                <w:szCs w:val="32"/>
              </w:rPr>
              <w:t xml:space="preserve">OTHER SOURCES OF EUROPEAN UNION FUNDS </w:t>
            </w:r>
            <w:r w:rsidRPr="006A511D">
              <w:rPr>
                <w:rFonts w:ascii="Verdana" w:hAnsi="Verdana"/>
                <w:b/>
                <w:spacing w:val="-10"/>
                <w:sz w:val="24"/>
                <w:szCs w:val="32"/>
              </w:rPr>
              <w:t xml:space="preserve">(CEF-E </w:t>
            </w:r>
            <w:r w:rsidR="00500527">
              <w:rPr>
                <w:rFonts w:ascii="Verdana" w:hAnsi="Verdana"/>
                <w:b/>
                <w:spacing w:val="-10"/>
                <w:sz w:val="24"/>
                <w:szCs w:val="32"/>
              </w:rPr>
              <w:t xml:space="preserve">and Synergy </w:t>
            </w:r>
            <w:r w:rsidRPr="006A511D">
              <w:rPr>
                <w:rFonts w:ascii="Verdana" w:hAnsi="Verdana"/>
                <w:b/>
                <w:spacing w:val="-10"/>
                <w:sz w:val="24"/>
                <w:szCs w:val="32"/>
              </w:rPr>
              <w:t>only, GA II.23.1.1.m</w:t>
            </w:r>
            <w:r>
              <w:rPr>
                <w:rFonts w:ascii="Verdana" w:hAnsi="Verdana"/>
                <w:b/>
                <w:spacing w:val="-10"/>
                <w:sz w:val="24"/>
                <w:szCs w:val="32"/>
              </w:rPr>
              <w:t xml:space="preserve"> </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112088">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Pr>
                <w:rFonts w:ascii="Verdana" w:hAnsi="Verdana"/>
                <w:b/>
                <w:spacing w:val="-10"/>
              </w:rPr>
              <w:t>If applicable, provide information about other sources of EU funds (</w:t>
            </w:r>
            <w:r w:rsidRPr="00970224">
              <w:rPr>
                <w:rFonts w:ascii="Verdana" w:hAnsi="Verdana"/>
                <w:b/>
                <w:spacing w:val="-10"/>
              </w:rPr>
              <w:t>CEF, ERDF, Cohesion Fund, H2020, TEN, EEPR, EIPA, etc.</w:t>
            </w:r>
            <w:r>
              <w:rPr>
                <w:rFonts w:ascii="Verdana" w:hAnsi="Verdana"/>
                <w:b/>
                <w:spacing w:val="-10"/>
              </w:rPr>
              <w:t xml:space="preserve">) used for the project of common interest (e.g. previous or subsequent phases not covered by the Grant Agreement). </w:t>
            </w:r>
          </w:p>
        </w:tc>
      </w:tr>
      <w:tr w:rsidR="00315323" w:rsidRPr="00187B31" w:rsidTr="00112088">
        <w:trPr>
          <w:trHeight w:val="2180"/>
          <w:jc w:val="center"/>
        </w:trPr>
        <w:tc>
          <w:tcPr>
            <w:tcW w:type="dxa" w:w="9594"/>
            <w:tcMar>
              <w:top w:type="dxa" w:w="85"/>
              <w:bottom w:type="dxa" w:w="85"/>
            </w:tcMar>
          </w:tcPr>
          <w:p w:rsidP="0061142E" w:rsidR="00315323" w:rsidRDefault="00C80F64" w:rsidRPr="00187B31">
            <w:pPr>
              <w:spacing w:after="120" w:before="120"/>
              <w:ind w:left="113"/>
              <w:rPr>
                <w:rFonts w:ascii="Verdana" w:hAnsi="Verdana"/>
                <w:spacing w:val="-10"/>
              </w:rPr>
            </w:pPr>
            <w:r>
              <w:rPr>
                <w:rFonts w:ascii="Verdana" w:hAnsi="Verdana"/>
                <w:noProof/>
                <w:spacing w:val="-10"/>
              </w:rPr>
              <w:t>Not applicable</w:t>
            </w:r>
          </w:p>
        </w:tc>
      </w:tr>
    </w:tbl>
    <w:p w:rsidR="00315323" w:rsidRDefault="00315323"/>
    <w:p w:rsidR="000B112E" w:rsidRDefault="000B112E">
      <w:pPr>
        <w:spacing w:after="0" w:line="240" w:lineRule="auto"/>
      </w:pPr>
      <w:r>
        <w:br w:type="page"/>
      </w:r>
    </w:p>
    <w:p w:rsidR="000B112E" w:rsidRDefault="000B112E"/>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0B112E" w:rsidRPr="00014C3A" w:rsidTr="0018280C">
        <w:trPr>
          <w:trHeight w:val="412"/>
          <w:jc w:val="center"/>
        </w:trPr>
        <w:tc>
          <w:tcPr>
            <w:tcW w:type="dxa" w:w="9594"/>
            <w:shd w:color="auto" w:fill="99CCFF" w:val="clear"/>
            <w:tcMar>
              <w:top w:type="dxa" w:w="113"/>
              <w:bottom w:type="dxa" w:w="113"/>
            </w:tcMar>
          </w:tcPr>
          <w:p w:rsidP="0018280C" w:rsidR="000B112E" w:rsidRDefault="000B112E"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t>5</w:t>
            </w:r>
            <w:r w:rsidRPr="00014C3A">
              <w:rPr>
                <w:rFonts w:ascii="Verdana" w:hAnsi="Verdana"/>
                <w:b/>
                <w:spacing w:val="-10"/>
                <w:sz w:val="32"/>
                <w:szCs w:val="32"/>
              </w:rPr>
              <w:t>. COMPLIANCE WITH EU LEGISLATION</w:t>
            </w:r>
            <w:r>
              <w:rPr>
                <w:rFonts w:ascii="Verdana" w:hAnsi="Verdana"/>
                <w:b/>
                <w:spacing w:val="-10"/>
                <w:sz w:val="32"/>
                <w:szCs w:val="32"/>
              </w:rPr>
              <w:t xml:space="preserve"> </w:t>
            </w:r>
            <w:r w:rsidRPr="006A511D">
              <w:rPr>
                <w:rFonts w:ascii="Verdana" w:hAnsi="Verdana"/>
                <w:b/>
                <w:spacing w:val="-10"/>
                <w:sz w:val="24"/>
                <w:szCs w:val="32"/>
              </w:rPr>
              <w:t>(GA.II.23.1.1g and h</w:t>
            </w:r>
            <w:r>
              <w:rPr>
                <w:rFonts w:ascii="Verdana" w:hAnsi="Verdana"/>
                <w:b/>
                <w:spacing w:val="-10"/>
                <w:sz w:val="24"/>
                <w:szCs w:val="32"/>
              </w:rPr>
              <w:t>,  or SESAR FPA II.23.1b.g and h</w:t>
            </w:r>
            <w:r w:rsidRPr="006A511D">
              <w:rPr>
                <w:rFonts w:ascii="Verdana" w:hAnsi="Verdana"/>
                <w:b/>
                <w:spacing w:val="-10"/>
                <w:sz w:val="24"/>
                <w:szCs w:val="32"/>
              </w:rPr>
              <w:t>)</w:t>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18280C" w:rsidR="000B112E" w:rsidRDefault="00462537" w:rsidRPr="00014C3A">
            <w:pPr>
              <w:keepNext/>
              <w:spacing w:after="120" w:before="120"/>
              <w:ind w:left="113"/>
              <w:rPr>
                <w:rFonts w:ascii="Verdana" w:hAnsi="Verdana"/>
                <w:b/>
                <w:spacing w:val="-10"/>
              </w:rPr>
            </w:pPr>
            <w:r w:rsidRPr="00191404">
              <w:rPr>
                <w:rFonts w:ascii="Verdana" w:hAnsi="Verdana"/>
                <w:b/>
                <w:spacing w:val="-10"/>
              </w:rPr>
              <w:t xml:space="preserve">5.1. </w:t>
            </w:r>
            <w:r>
              <w:rPr>
                <w:rFonts w:ascii="Verdana" w:hAnsi="Verdana"/>
                <w:b/>
                <w:spacing w:val="-10"/>
              </w:rPr>
              <w:t>O</w:t>
            </w:r>
            <w:r w:rsidRPr="00191404">
              <w:rPr>
                <w:rFonts w:ascii="Verdana" w:hAnsi="Verdana"/>
                <w:b/>
                <w:spacing w:val="-10"/>
              </w:rPr>
              <w:t>verview of environmental aspects, compliance with EU and national legislation, issues during the implementation of the Action and measures taken.</w:t>
            </w:r>
          </w:p>
        </w:tc>
      </w:tr>
      <w:tr w:rsidR="000B112E" w:rsidRPr="00014C3A" w:rsidTr="0018280C">
        <w:trPr>
          <w:trHeight w:val="1646"/>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The Ministry of Environment of the Slovak Republic published EIA No.2264/2017-1.7 opinion on 08/03/2018 on the https://www.enviroportal.sk/sk/eia/detail/modernizacia-zeleznicnej-trate-bratislava-hl-st-kuty-lanzhot-cz-usek-t, but was not valid (Annex 6.1). On 26 April 2018, public information on appeal (remonstrance) and on submission appeal (remonstrance) (Annex 6.2 and 6.3) was published. The Environment Minister of the SR on 12/02/2019, rejected the appeal (remonstrance), which means that the EIA Final Statement is valid (Annex6.4).</w:t>
              <w:br/>
              <w:t xml:space="preserve">The decision entered into force on 28 February 2019.</w:t>
              <w:br/>
              <w:t xml:space="preserve">Based on elaborated EIA design documentation (intention impact of construction, assessment report, expert opinion), which came into force on 12.2.2019 (Annex 6.4), we define the following environmental impact areas, which are listed in (Annex 9).</w:t>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5.2. Where relevant, information on the compliance with EU legislation</w:t>
            </w:r>
            <w:r>
              <w:t xml:space="preserve"> </w:t>
            </w:r>
            <w:r w:rsidRPr="005C6642">
              <w:rPr>
                <w:rFonts w:ascii="Verdana" w:hAnsi="Verdana"/>
                <w:b/>
                <w:spacing w:val="-10"/>
              </w:rPr>
              <w:t>notably on procurement</w:t>
            </w:r>
            <w:r w:rsidRPr="00191404">
              <w:rPr>
                <w:rFonts w:ascii="Verdana" w:hAnsi="Verdana"/>
                <w:b/>
                <w:spacing w:val="-10"/>
              </w:rPr>
              <w:t xml:space="preserve">: </w:t>
            </w:r>
          </w:p>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 xml:space="preserve">- information on the contracts awarded </w:t>
            </w:r>
            <w:r w:rsidRPr="005C6642">
              <w:rPr>
                <w:rFonts w:ascii="Verdana" w:hAnsi="Verdana"/>
                <w:b/>
                <w:spacing w:val="-10"/>
              </w:rPr>
              <w:t xml:space="preserve">or planned </w:t>
            </w:r>
            <w:r w:rsidRPr="00191404">
              <w:rPr>
                <w:rFonts w:ascii="Verdana" w:hAnsi="Verdana"/>
                <w:b/>
                <w:spacing w:val="-10"/>
              </w:rPr>
              <w:t>for the implementation of the Action and on compliance with the requirements set out in GA II.9 and II.10</w:t>
            </w:r>
          </w:p>
          <w:p w:rsidP="00462537" w:rsidR="000B112E" w:rsidRDefault="00462537" w:rsidRPr="00014C3A">
            <w:pPr>
              <w:keepNext/>
              <w:spacing w:after="120" w:before="120"/>
              <w:ind w:left="113"/>
              <w:rPr>
                <w:rFonts w:ascii="Verdana" w:hAnsi="Verdana"/>
                <w:b/>
                <w:spacing w:val="-10"/>
              </w:rPr>
            </w:pPr>
            <w:r w:rsidRPr="00191404">
              <w:rPr>
                <w:rFonts w:ascii="Verdana" w:hAnsi="Verdana"/>
                <w:b/>
                <w:spacing w:val="-10"/>
              </w:rPr>
              <w:t>- regarding other matters, notably public procurement, competition, regulatory matters, (CEF-E only) the update of the CBCA decision, etc.</w:t>
            </w:r>
          </w:p>
        </w:tc>
      </w:tr>
      <w:tr w:rsidR="000B112E" w:rsidRPr="00014C3A" w:rsidTr="0018280C">
        <w:trPr>
          <w:trHeight w:val="1215"/>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The PP process is carried out in accordance with Act no. 343/2015 Coll. on public procurement as amended, based on the European Parliament and Council Directives 2014/23/EU, 2014/24/EU and 2014/25/EU.</w:t>
              <w:br/>
              <w:t xml:space="preserve">It is a procedure under the Act on Public Procurement, which is based on the EP Directives.</w:t>
              <w:br/>
              <w:t xml:space="preserve">EU Member States have an obligation to transpose these Directives into Member State legislation. It's an open competition.</w:t>
              <w:br/>
              <w:t xml:space="preserve">In the case of these projects, the Directive 2014/24/EU will apply with regard to EU funding.</w:t>
              <w:br/>
              <w:t xml:space="preserve">In this PP no objections were raised (resolved by PPO), ie no appeal (resolved by the Council of PPO).</w:t>
              <w:br/>
              <w:t xml:space="preserve">The PP process was concluded by concluding a contract 19/11/2019, whose contract price is EUR 6 790 000.00 excluding VAT.</w:t>
              <w:br/>
              <w:t xml:space="preserve">The duration of the contract is 45 months from the date of entry into force of the contract, i. from 20/11/2019, while in the period of 45 months does not include the performance of author supervision performed during the construction, which is not subject to funding from GA.</w:t>
              <w:br/>
              <w:t xml:space="preserve">The conclusion of the contract was preceded by a pre-signature inspection at the MoT and the PPO without any deficiencies found.</w:t>
              <w:br/>
              <w:t xml:space="preserve">Following the conclusion of the contract, mandatory documents were published in the order profile on the Office's website:</w:t>
              <w:br/>
              <w:t xml:space="preserve">https://www.uvo.gov.sk/vyhladavanie-zakaziek/detail/dokumenty/410802 </w:t>
              <w:br/>
              <w:t xml:space="preserve">Published contract in the Central Register of Contracts maintained by the Office of the Government of the Slovak Republic:</w:t>
              <w:br/>
              <w:t xml:space="preserve">https://www.crz.gov.sk/index.php?ID=4312910&amp;l=sk </w:t>
              <w:br/>
              <w:t xml:space="preserve">Published notice of PP result in Journal of PP:</w:t>
              <w:br/>
              <w:t xml:space="preserve">https://ted.europa.eu/udl?uri=TED:NOTICE:579671-2019:TEXT:SK:HTML&amp;src=0 </w:t>
              <w:br/>
              <w:t xml:space="preserve">Published notice of the result of the PP in the Bulletin of the PP:</w:t>
              <w:br/>
              <w:t xml:space="preserve">https://www.uvo.gov.sk/vestnik/oznamenie/detail/428980 </w:t>
              <w:br/>
              <w:t xml:space="preserve">Due to significant complications in the public tender for the construction of DNV – state boreder a public tender was announced for the construction of the Ma-Ku, which was successfully completed and the contractor of the project documentation was selected.</w:t>
            </w:r>
          </w:p>
        </w:tc>
      </w:tr>
    </w:tbl>
    <w:p w:rsidR="000B112E" w:rsidRDefault="000B112E"/>
    <w:p w:rsidP="005A7064" w:rsidR="000B112E" w:rsidRDefault="000B112E">
      <w:pPr>
        <w:spacing w:after="0" w:line="240" w:lineRule="auto"/>
      </w:pPr>
      <w:r>
        <w:br w:type="page"/>
      </w:r>
    </w:p>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F27E39" w:rsidRPr="00014C3A" w:rsidTr="0018280C">
        <w:trPr>
          <w:trHeight w:val="412"/>
          <w:jc w:val="center"/>
        </w:trPr>
        <w:tc>
          <w:tcPr>
            <w:tcW w:type="dxa" w:w="9594"/>
            <w:shd w:color="auto" w:fill="99CCFF" w:val="clear"/>
            <w:tcMar>
              <w:top w:type="dxa" w:w="113"/>
              <w:bottom w:type="dxa" w:w="113"/>
            </w:tcMar>
          </w:tcPr>
          <w:p w:rsidP="0018280C" w:rsidR="00F27E39" w:rsidRDefault="00F27E39"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lastRenderedPageBreak/>
              <w:t>6</w:t>
            </w:r>
            <w:r w:rsidRPr="00014C3A">
              <w:rPr>
                <w:rFonts w:ascii="Verdana" w:hAnsi="Verdana"/>
                <w:b/>
                <w:spacing w:val="-10"/>
                <w:sz w:val="32"/>
                <w:szCs w:val="32"/>
              </w:rPr>
              <w:t xml:space="preserve">. </w:t>
            </w:r>
            <w:r>
              <w:rPr>
                <w:rFonts w:ascii="Verdana" w:hAnsi="Verdana"/>
                <w:b/>
                <w:spacing w:val="-10"/>
                <w:sz w:val="32"/>
                <w:szCs w:val="32"/>
              </w:rPr>
              <w:t>IMPLEMENTATION SCHEDULE, GOVERNANCE AND MONITORING</w:t>
            </w:r>
            <w:r w:rsidRPr="006A511D">
              <w:rPr>
                <w:rFonts w:ascii="Verdana" w:hAnsi="Verdana"/>
                <w:b/>
                <w:spacing w:val="-10"/>
                <w:sz w:val="32"/>
                <w:szCs w:val="32"/>
              </w:rPr>
              <w:t xml:space="preserve">, OTHER RELEVANT ADMINISTRATIVE PROVISIONS </w:t>
            </w:r>
            <w:r w:rsidRPr="006A511D">
              <w:rPr>
                <w:rFonts w:ascii="Verdana" w:hAnsi="Verdana"/>
                <w:b/>
                <w:spacing w:val="-10"/>
                <w:sz w:val="24"/>
                <w:szCs w:val="32"/>
              </w:rPr>
              <w:t>(GA II.23.1.1.k and l</w:t>
            </w:r>
            <w:r>
              <w:rPr>
                <w:rFonts w:ascii="Verdana" w:hAnsi="Verdana"/>
                <w:b/>
                <w:spacing w:val="-10"/>
                <w:sz w:val="24"/>
                <w:szCs w:val="32"/>
              </w:rPr>
              <w:t>,  or SESAR FPA II.23.1b.k and l</w:t>
            </w:r>
            <w:r w:rsidRPr="006A511D">
              <w:rPr>
                <w:rFonts w:ascii="Verdana" w:hAnsi="Verdana"/>
                <w:b/>
                <w:spacing w:val="-10"/>
                <w:sz w:val="24"/>
                <w:szCs w:val="32"/>
              </w:rPr>
              <w:t>)</w:t>
            </w:r>
          </w:p>
        </w:tc>
      </w:tr>
    </w:tbl>
    <w:p w:rsidR="00F27E39" w:rsidRDefault="00F27E39"/>
    <w:tbl>
      <w:tblPr>
        <w:tblW w:type="pct" w:w="4992"/>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27"/>
      </w:tblGrid>
      <w:tr w:rsidR="001E0C6D" w:rsidRPr="00014C3A" w:rsidTr="00CA70A8">
        <w:trPr>
          <w:trHeight w:val="264"/>
          <w:jc w:val="center"/>
        </w:trPr>
        <w:tc>
          <w:tcPr>
            <w:tcW w:type="dxa" w:w="9227"/>
            <w:shd w:color="auto" w:fill="99CCFF" w:val="clear"/>
            <w:tcMar>
              <w:top w:type="dxa" w:w="85"/>
              <w:bottom w:type="dxa" w:w="85"/>
            </w:tcMar>
          </w:tcPr>
          <w:p w:rsidP="0018280C" w:rsidR="001E0C6D" w:rsidRDefault="001E0C6D" w:rsidRPr="00014C3A">
            <w:pPr>
              <w:keepNext/>
              <w:spacing w:after="120" w:before="120"/>
              <w:rPr>
                <w:rFonts w:ascii="Verdana" w:hAnsi="Verdana"/>
                <w:b/>
                <w:spacing w:val="-10"/>
              </w:rPr>
            </w:pPr>
            <w:r w:rsidRPr="00FA3FBF">
              <w:rPr>
                <w:rFonts w:ascii="Verdana" w:hAnsi="Verdana"/>
                <w:b/>
                <w:spacing w:val="-10"/>
              </w:rPr>
              <w:t xml:space="preserve">6.1. </w:t>
            </w:r>
            <w:r w:rsidRPr="00FA3FBF">
              <w:rPr>
                <w:rFonts w:ascii="Verdana" w:hAnsi="Verdana"/>
                <w:b/>
                <w:spacing w:val="-10"/>
                <w:u w:val="single"/>
              </w:rPr>
              <w:t>In the first ASR</w:t>
            </w:r>
            <w:r w:rsidRPr="00FA3FBF">
              <w:rPr>
                <w:rFonts w:ascii="Verdana" w:hAnsi="Verdana"/>
                <w:b/>
                <w:spacing w:val="-10"/>
              </w:rPr>
              <w:t xml:space="preserve">, information on implementation schedule, such as critical path, key performance rates and risk analysis; </w:t>
            </w:r>
            <w:r w:rsidRPr="00FA3FBF">
              <w:rPr>
                <w:rFonts w:ascii="Verdana" w:hAnsi="Verdana"/>
                <w:b/>
                <w:spacing w:val="-10"/>
                <w:u w:val="single"/>
              </w:rPr>
              <w:t>in subsequent ASR</w:t>
            </w:r>
            <w:r w:rsidRPr="00FA3FBF">
              <w:rPr>
                <w:rFonts w:ascii="Verdana" w:hAnsi="Verdana"/>
                <w:b/>
                <w:spacing w:val="-10"/>
              </w:rPr>
              <w:t>, information on any modifications and, if applicable, on the progress of the implementation of the arrangements referred to in previous ASR. If there are changes in the Action timetable as compared to the l</w:t>
            </w:r>
            <w:r>
              <w:rPr>
                <w:rFonts w:ascii="Verdana" w:hAnsi="Verdana"/>
                <w:b/>
                <w:spacing w:val="-10"/>
              </w:rPr>
              <w:t>a</w:t>
            </w:r>
            <w:r w:rsidRPr="00FA3FBF">
              <w:rPr>
                <w:rFonts w:ascii="Verdana" w:hAnsi="Verdana"/>
                <w:b/>
                <w:spacing w:val="-10"/>
              </w:rPr>
              <w:t xml:space="preserve">test planning (Grant Agreement or </w:t>
            </w:r>
            <w:r>
              <w:rPr>
                <w:rFonts w:ascii="Verdana" w:hAnsi="Verdana"/>
                <w:b/>
                <w:spacing w:val="-10"/>
              </w:rPr>
              <w:t>previous</w:t>
            </w:r>
            <w:r w:rsidRPr="00FA3FBF">
              <w:rPr>
                <w:rFonts w:ascii="Verdana" w:hAnsi="Verdana"/>
                <w:b/>
                <w:spacing w:val="-10"/>
              </w:rPr>
              <w:t xml:space="preserve"> ASR), attach an updated Gantt chart.</w:t>
            </w:r>
          </w:p>
        </w:tc>
      </w:tr>
      <w:tr w:rsidR="001E0C6D" w:rsidRPr="00014C3A" w:rsidTr="00CA70A8">
        <w:trPr>
          <w:trHeight w:val="664"/>
          <w:jc w:val="center"/>
        </w:trPr>
        <w:tc>
          <w:tcPr>
            <w:tcW w:type="dxa" w:w="9227"/>
            <w:tcMar>
              <w:top w:type="dxa" w:w="85"/>
              <w:bottom w:type="dxa" w:w="85"/>
            </w:tcMar>
          </w:tcPr>
          <w:p w:rsidP="0061142E" w:rsidR="001E0C6D" w:rsidRDefault="00EB61FF" w:rsidRPr="00014C3A">
            <w:pPr>
              <w:spacing w:after="120" w:before="120"/>
              <w:ind w:left="113"/>
              <w:rPr>
                <w:rFonts w:ascii="Verdana" w:hAnsi="Verdana"/>
                <w:spacing w:val="-10"/>
              </w:rPr>
            </w:pPr>
            <w:r>
              <w:rPr>
                <w:rFonts w:ascii="Verdana" w:hAnsi="Verdana"/>
                <w:noProof/>
                <w:spacing w:val="-10"/>
              </w:rPr>
              <w:t>Action's planned implementation technical progress (cumulated %) is enclosed in the table in Annex 18.</w:t>
              <w:br/>
              <w:t xml:space="preserve">The updated Gantt Chart is presented in Annex 4.</w:t>
              <w:br/>
              <w:t xml:space="preserve">The risk analysis remains valid. The risk analysis is prepared for the whole section of Devínska Nová Ves - state border.</w:t>
              <w:br/>
              <w:t xml:space="preserve">Under Amendment No. 3, there have been some changes in the area of investment costs only in terms of funding sources, not in terms of the total costs needed to complete the entire DNV-SB project. Other critical variables are preserved.</w:t>
            </w:r>
          </w:p>
        </w:tc>
      </w:tr>
    </w:tbl>
    <w:p w:rsidR="00CA70A8" w:rsidRDefault="00CA70A8"/>
    <w:p w:rsidR="000809A7" w:rsidRDefault="00CA70A8">
      <w:pPr>
        <w:spacing w:after="0" w:line="240" w:lineRule="auto"/>
        <w:sectPr w:rsidR="000809A7" w:rsidSect="00876A81">
          <w:pgSz w:h="16838" w:w="11906"/>
          <w:pgMar w:bottom="1440" w:footer="709" w:gutter="0" w:header="709" w:left="1440" w:right="1440" w:top="737"/>
          <w:cols w:space="708"/>
          <w:docGrid w:linePitch="360"/>
        </w:sectPr>
      </w:pPr>
      <w:r>
        <w:br w:type="page"/>
      </w:r>
    </w:p>
    <w:p w:rsidP="00150FB2" w:rsidR="00CA70A8" w:rsidRDefault="00150FB2">
      <w:pPr>
        <w:spacing w:after="0" w:line="240" w:lineRule="auto"/>
        <w:jc w:val="center"/>
        <w:rPr>
          <w:rFonts w:eastAsia="Times New Roman"/>
          <w:b/>
          <w:bCs/>
          <w:lang w:eastAsia="en-GB"/>
        </w:rPr>
      </w:pPr>
      <w:r>
        <w:rPr>
          <w:rFonts w:eastAsia="Times New Roman"/>
          <w:b/>
          <w:bCs/>
          <w:lang w:eastAsia="en-GB"/>
        </w:rPr>
        <w:lastRenderedPageBreak/>
        <w:t>Action's i</w:t>
      </w:r>
      <w:r w:rsidRPr="00777720">
        <w:rPr>
          <w:rFonts w:eastAsia="Times New Roman"/>
          <w:b/>
          <w:bCs/>
          <w:lang w:eastAsia="en-GB"/>
        </w:rPr>
        <w:t xml:space="preserve">mplementation </w:t>
      </w:r>
      <w:r w:rsidR="00FA5D13">
        <w:rPr>
          <w:rFonts w:eastAsia="Times New Roman"/>
          <w:b/>
          <w:bCs/>
          <w:lang w:eastAsia="en-GB"/>
        </w:rPr>
        <w:t xml:space="preserve">technical </w:t>
      </w:r>
      <w:r w:rsidRPr="00777720">
        <w:rPr>
          <w:rFonts w:eastAsia="Times New Roman"/>
          <w:b/>
          <w:bCs/>
          <w:lang w:eastAsia="en-GB"/>
        </w:rPr>
        <w:t>progress (cumulated %)</w:t>
      </w:r>
    </w:p>
    <w:p w:rsidP="00150FB2" w:rsidR="003D1413" w:rsidRDefault="00A078D4" w:rsidRPr="00491DF7">
      <w:pPr>
        <w:spacing w:after="0" w:line="240" w:lineRule="auto"/>
        <w:jc w:val="center"/>
      </w:pPr>
      <w:r w:rsidRPr="00491DF7">
        <w:rPr>
          <w:noProof/>
        </w:rPr>
        <w:t/>
      </w:r>
    </w:p>
    <w:tbl>
      <w:tblPr>
        <w:tblStyle w:val="TableGrid0"/>
        <w:tblW w:type="pct" w:w="5000"/>
        <w:jc w:val="center"/>
        <w:tblLook w:firstColumn="1" w:firstRow="1" w:lastColumn="0" w:lastRow="0" w:noHBand="0" w:noVBand="1" w:val="04A0"/>
      </w:tblPr>
      <w:tblGrid>
        <w:gridCol w:w="4364"/>
        <w:gridCol w:w="5836"/>
        <w:gridCol w:w="4677"/>
      </w:tblGrid>
      <w:tr w:rsidR="00507998" w:rsidRPr="00A877EE" w:rsidTr="00A078D4">
        <w:trPr>
          <w:jc w:val="center"/>
        </w:trPr>
        <w:tc>
          <w:tcPr>
            <w:tcW w:type="dxa" w:w="3657"/>
            <w:vAlign w:val="center"/>
          </w:tcPr>
          <w:p w:rsidP="00841369" w:rsidR="00507998" w:rsidRDefault="00507998" w:rsidRPr="00491DF7">
            <w:pPr>
              <w:spacing w:after="0" w:line="240" w:lineRule="auto"/>
              <w:jc w:val="center"/>
            </w:pP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2017</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2018</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2019</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2020</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2021</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2022</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2023</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2024</w:t>
            </w:r>
          </w:p>
        </w:tc>
      </w:tr>
      <w:tr w:rsidR="00D805A0" w:rsidRPr="00D714FE" w:rsidTr="00A078D4">
        <w:trPr>
          <w:jc w:val="center"/>
        </w:trPr>
        <w:tc>
          <w:tcPr>
            <w:tcW w:type="dxa" w:w="3657"/>
            <w:vAlign w:val="center"/>
          </w:tcPr>
          <w:p w:rsidP="00841369" w:rsidR="00D805A0" w:rsidRDefault="00D805A0">
            <w:pPr>
              <w:spacing w:after="0" w:line="240" w:lineRule="auto"/>
              <w:jc w:val="center"/>
            </w:pPr>
            <w:r>
              <w:t>Action level</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r>
      <w:tr w:rsidR="00D805A0" w:rsidRPr="00251DEF" w:rsidTr="00A078D4">
        <w:trPr>
          <w:jc w:val="center"/>
        </w:trPr>
        <w:tc>
          <w:tcPr>
            <w:tcW w:type="dxa" w:w="3657"/>
            <w:vAlign w:val="center"/>
          </w:tcPr>
          <w:p w:rsidP="00841369" w:rsidR="00D805A0" w:rsidRDefault="00D805A0" w:rsidRPr="00D805A0">
            <w:pPr>
              <w:spacing w:after="0" w:line="240" w:lineRule="auto"/>
              <w:jc w:val="center"/>
              <w:rPr>
                <w:lang w:val="pt-PT"/>
              </w:rPr>
            </w:pPr>
          </w:p>
        </w:tc>
        <w:tc>
          <w:tcPr>
            <w:tcW w:type="dxa" w:w="6232"/>
            <w:vAlign w:val="center"/>
          </w:tcPr>
          <w:p w:rsidP="000E6B2B" w:rsidR="00D805A0" w:rsidRDefault="00FD13F3" w:rsidRPr="006F3248">
            <w:pPr>
              <w:spacing w:after="0" w:line="240" w:lineRule="auto"/>
              <w:jc w:val="center"/>
              <w:rPr>
                <w:lang w:val="pt-PT"/>
              </w:rPr>
            </w:pPr>
            <w:r w:rsidR="000E6B2B">
              <w:rPr>
                <w:noProof/>
              </w:rPr>
              <w:t>7</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7</w:t>
            </w:r>
          </w:p>
        </w:tc>
        <w:tc>
          <w:tcPr>
            <w:tcW w:type="dxa" w:w="6232"/>
            <w:vAlign w:val="center"/>
          </w:tcPr>
          <w:p w:rsidP="000E6B2B" w:rsidR="00D805A0" w:rsidRDefault="00FD13F3" w:rsidRPr="006F3248">
            <w:pPr>
              <w:spacing w:after="0" w:line="240" w:lineRule="auto"/>
              <w:jc w:val="center"/>
              <w:rPr>
                <w:lang w:val="pt-PT"/>
              </w:rPr>
            </w:pPr>
            <w:r w:rsidR="000E6B2B">
              <w:rPr>
                <w:noProof/>
              </w:rPr>
              <w:t>17</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17</w:t>
            </w:r>
          </w:p>
        </w:tc>
        <w:tc>
          <w:tcPr>
            <w:tcW w:type="dxa" w:w="6232"/>
            <w:vAlign w:val="center"/>
          </w:tcPr>
          <w:p w:rsidP="000E6B2B" w:rsidR="00D805A0" w:rsidRDefault="00FD13F3" w:rsidRPr="006F3248">
            <w:pPr>
              <w:spacing w:after="0" w:line="240" w:lineRule="auto"/>
              <w:jc w:val="center"/>
              <w:rPr>
                <w:lang w:val="pt-PT"/>
              </w:rPr>
            </w:pPr>
            <w:r w:rsidR="000E6B2B">
              <w:rPr>
                <w:noProof/>
              </w:rPr>
              <w:t>20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20</w:t>
            </w:r>
          </w:p>
        </w:tc>
        <w:tc>
          <w:tcPr>
            <w:tcW w:type="dxa" w:w="6232"/>
            <w:vAlign w:val="center"/>
          </w:tcPr>
          <w:p w:rsidP="000E6B2B" w:rsidR="00D805A0" w:rsidRDefault="00FD13F3" w:rsidRPr="006F3248">
            <w:pPr>
              <w:spacing w:after="0" w:line="240" w:lineRule="auto"/>
              <w:jc w:val="center"/>
              <w:rPr>
                <w:lang w:val="pt-PT"/>
              </w:rPr>
            </w:pPr>
            <w:r w:rsidR="000E6B2B">
              <w:rPr>
                <w:noProof/>
              </w:rPr>
              <w:t>41</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41</w:t>
            </w:r>
          </w:p>
        </w:tc>
        <w:tc>
          <w:tcPr>
            <w:tcW w:type="dxa" w:w="6232"/>
            <w:vAlign w:val="center"/>
          </w:tcPr>
          <w:p w:rsidP="000E6B2B" w:rsidR="00D805A0" w:rsidRDefault="00FD13F3" w:rsidRPr="006F3248">
            <w:pPr>
              <w:spacing w:after="0" w:line="240" w:lineRule="auto"/>
              <w:jc w:val="center"/>
              <w:rPr>
                <w:lang w:val="pt-PT"/>
              </w:rPr>
            </w:pPr>
            <w:r w:rsidR="000E6B2B">
              <w:rPr>
                <w:noProof/>
              </w:rPr>
              <w:t>42</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42</w:t>
            </w:r>
          </w:p>
        </w:tc>
        <w:tc>
          <w:tcPr>
            <w:tcW w:type="dxa" w:w="6232"/>
            <w:vAlign w:val="center"/>
          </w:tcPr>
          <w:p w:rsidP="000E6B2B" w:rsidR="00D805A0" w:rsidRDefault="00FD13F3" w:rsidRPr="006F3248">
            <w:pPr>
              <w:spacing w:after="0" w:line="240" w:lineRule="auto"/>
              <w:jc w:val="center"/>
              <w:rPr>
                <w:lang w:val="pt-PT"/>
              </w:rPr>
            </w:pPr>
            <w:r w:rsidR="000E6B2B">
              <w:rPr>
                <w:noProof/>
              </w:rPr>
              <w:t>44</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44</w:t>
            </w:r>
          </w:p>
        </w:tc>
        <w:tc>
          <w:tcPr>
            <w:tcW w:type="dxa" w:w="6232"/>
            <w:vAlign w:val="center"/>
          </w:tcPr>
          <w:p w:rsidP="000E6B2B" w:rsidR="00D805A0" w:rsidRDefault="00FD13F3" w:rsidRPr="006F3248">
            <w:pPr>
              <w:spacing w:after="0" w:line="240" w:lineRule="auto"/>
              <w:jc w:val="center"/>
              <w:rPr>
                <w:lang w:val="pt-PT"/>
              </w:rPr>
            </w:pPr>
            <w:r w:rsidR="000E6B2B">
              <w:rPr>
                <w:noProof/>
              </w:rPr>
              <w:t>88</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69</w:t>
            </w:r>
          </w:p>
        </w:tc>
        <w:tc>
          <w:tcPr>
            <w:tcW w:type="dxa" w:w="6232"/>
            <w:vAlign w:val="center"/>
          </w:tcPr>
          <w:p w:rsidP="000E6B2B" w:rsidR="00D805A0" w:rsidRDefault="00FD13F3" w:rsidRPr="006F3248">
            <w:pPr>
              <w:spacing w:after="0" w:line="240" w:lineRule="auto"/>
              <w:jc w:val="center"/>
              <w:rPr>
                <w:lang w:val="pt-PT"/>
              </w:rPr>
            </w:pPr>
            <w:r w:rsidR="000E6B2B">
              <w:rPr>
                <w:noProof/>
              </w:rPr>
              <w:t>100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100</w:t>
            </w:r>
          </w:p>
        </w:tc>
      </w:tr>
      <w:tr w:rsidR="0020115A" w:rsidRPr="00D714FE" w:rsidTr="00A078D4">
        <w:trPr>
          <w:jc w:val="center"/>
        </w:trPr>
        <w:tc>
          <w:tcPr>
            <w:tcW w:type="dxa" w:w="3657"/>
            <w:vAlign w:val="center"/>
          </w:tcPr>
          <w:p w:rsidP="00841369" w:rsidR="0020115A" w:rsidRDefault="0020115A">
            <w:pPr>
              <w:spacing w:after="0" w:line="240" w:lineRule="auto"/>
              <w:jc w:val="center"/>
            </w:pPr>
            <w:r>
              <w:t>Activity</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1</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1</w:t>
            </w:r>
          </w:p>
        </w:tc>
        <w:tc>
          <w:tcPr>
            <w:tcW w:type="dxa" w:w="4988"/>
            <w:vAlign w:val="center"/>
          </w:tcPr>
          <w:p w:rsidP="005A1FD4" w:rsidR="00A659C2" w:rsidRDefault="00E32B6D" w:rsidRPr="002A6691">
            <w:pPr>
              <w:spacing w:after="0" w:line="240" w:lineRule="auto"/>
              <w:jc w:val="center"/>
            </w:pPr>
            <w:r w:rsidR="009A6BA9">
              <w:rPr>
                <w:noProof/>
              </w:rPr>
              <w:t>1</w:t>
            </w:r>
          </w:p>
        </w:tc>
        <w:tc>
          <w:tcPr>
            <w:tcW w:type="dxa" w:w="6232"/>
            <w:vAlign w:val="center"/>
          </w:tcPr>
          <w:p w:rsidP="001B0513" w:rsidR="00A659C2" w:rsidRDefault="00E035B3" w:rsidRPr="00D805A0">
            <w:pPr>
              <w:spacing w:after="0" w:line="240" w:lineRule="auto"/>
              <w:jc w:val="center"/>
            </w:pPr>
            <w:r w:rsidR="001B0513">
              <w:rPr>
                <w:noProof/>
              </w:rPr>
              <w:t>27</w:t>
            </w:r>
          </w:p>
        </w:tc>
        <w:tc>
          <w:tcPr>
            <w:tcW w:type="dxa" w:w="4988"/>
            <w:vAlign w:val="center"/>
          </w:tcPr>
          <w:p w:rsidP="005A1FD4" w:rsidR="00A659C2" w:rsidRDefault="00E32B6D" w:rsidRPr="002A6691">
            <w:pPr>
              <w:spacing w:after="0" w:line="240" w:lineRule="auto"/>
              <w:jc w:val="center"/>
            </w:pPr>
            <w:r w:rsidR="009A6BA9">
              <w:rPr>
                <w:noProof/>
              </w:rPr>
              <w:t>27</w:t>
            </w:r>
          </w:p>
        </w:tc>
        <w:tc>
          <w:tcPr>
            <w:tcW w:type="dxa" w:w="6232"/>
            <w:vAlign w:val="center"/>
          </w:tcPr>
          <w:p w:rsidP="001B0513" w:rsidR="00A659C2" w:rsidRDefault="00E035B3" w:rsidRPr="00D805A0">
            <w:pPr>
              <w:spacing w:after="0" w:line="240" w:lineRule="auto"/>
              <w:jc w:val="center"/>
            </w:pPr>
            <w:r w:rsidR="001B0513">
              <w:rPr>
                <w:noProof/>
              </w:rPr>
              <w:t>29</w:t>
            </w:r>
          </w:p>
        </w:tc>
        <w:tc>
          <w:tcPr>
            <w:tcW w:type="dxa" w:w="4988"/>
            <w:vAlign w:val="center"/>
          </w:tcPr>
          <w:p w:rsidP="005A1FD4" w:rsidR="00A659C2" w:rsidRDefault="00E32B6D" w:rsidRPr="002A6691">
            <w:pPr>
              <w:spacing w:after="0" w:line="240" w:lineRule="auto"/>
              <w:jc w:val="center"/>
            </w:pPr>
            <w:r w:rsidR="009A6BA9">
              <w:rPr>
                <w:noProof/>
              </w:rPr>
              <w:t>29</w:t>
            </w:r>
          </w:p>
        </w:tc>
        <w:tc>
          <w:tcPr>
            <w:tcW w:type="dxa" w:w="6232"/>
            <w:vAlign w:val="center"/>
          </w:tcPr>
          <w:p w:rsidP="001B0513" w:rsidR="00A659C2" w:rsidRDefault="00E035B3" w:rsidRPr="00D805A0">
            <w:pPr>
              <w:spacing w:after="0" w:line="240" w:lineRule="auto"/>
              <w:jc w:val="center"/>
            </w:pPr>
            <w:r w:rsidR="001B0513">
              <w:rPr>
                <w:noProof/>
              </w:rPr>
              <w:t>31</w:t>
            </w:r>
          </w:p>
        </w:tc>
        <w:tc>
          <w:tcPr>
            <w:tcW w:type="dxa" w:w="4988"/>
            <w:vAlign w:val="center"/>
          </w:tcPr>
          <w:p w:rsidP="005A1FD4" w:rsidR="00A659C2" w:rsidRDefault="00E32B6D" w:rsidRPr="002A6691">
            <w:pPr>
              <w:spacing w:after="0" w:line="240" w:lineRule="auto"/>
              <w:jc w:val="center"/>
            </w:pPr>
            <w:r w:rsidR="009A6BA9">
              <w:rPr>
                <w:noProof/>
              </w:rPr>
              <w:t>31</w:t>
            </w:r>
          </w:p>
        </w:tc>
        <w:tc>
          <w:tcPr>
            <w:tcW w:type="dxa" w:w="6232"/>
            <w:vAlign w:val="center"/>
          </w:tcPr>
          <w:p w:rsidP="001B0513" w:rsidR="00A659C2" w:rsidRDefault="00E035B3" w:rsidRPr="00D805A0">
            <w:pPr>
              <w:spacing w:after="0" w:line="240" w:lineRule="auto"/>
              <w:jc w:val="center"/>
            </w:pPr>
            <w:r w:rsidR="001B0513">
              <w:rPr>
                <w:noProof/>
              </w:rPr>
              <w:t>86</w:t>
            </w:r>
          </w:p>
        </w:tc>
        <w:tc>
          <w:tcPr>
            <w:tcW w:type="dxa" w:w="4988"/>
            <w:vAlign w:val="center"/>
          </w:tcPr>
          <w:p w:rsidP="005A1FD4" w:rsidR="00A659C2" w:rsidRDefault="00E32B6D" w:rsidRPr="002A6691">
            <w:pPr>
              <w:spacing w:after="0" w:line="240" w:lineRule="auto"/>
              <w:jc w:val="center"/>
            </w:pPr>
            <w:r w:rsidR="009A6BA9">
              <w:rPr>
                <w:noProof/>
              </w:rPr>
              <w:t>62</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2</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37</w:t>
            </w:r>
          </w:p>
        </w:tc>
        <w:tc>
          <w:tcPr>
            <w:tcW w:type="dxa" w:w="4988"/>
            <w:vAlign w:val="center"/>
          </w:tcPr>
          <w:p w:rsidP="005A1FD4" w:rsidR="00A659C2" w:rsidRDefault="00E32B6D" w:rsidRPr="002A6691">
            <w:pPr>
              <w:spacing w:after="0" w:line="240" w:lineRule="auto"/>
              <w:jc w:val="center"/>
            </w:pPr>
            <w:r w:rsidR="009A6BA9">
              <w:rPr>
                <w:noProof/>
              </w:rPr>
              <w:t>37</w:t>
            </w:r>
          </w:p>
        </w:tc>
        <w:tc>
          <w:tcPr>
            <w:tcW w:type="dxa" w:w="6232"/>
            <w:vAlign w:val="center"/>
          </w:tcPr>
          <w:p w:rsidP="001B0513" w:rsidR="00A659C2" w:rsidRDefault="00E035B3" w:rsidRPr="00D805A0">
            <w:pPr>
              <w:spacing w:after="0" w:line="240" w:lineRule="auto"/>
              <w:jc w:val="center"/>
            </w:pPr>
            <w:r w:rsidR="001B0513">
              <w:rPr>
                <w:noProof/>
              </w:rPr>
              <w:t>85</w:t>
            </w:r>
          </w:p>
        </w:tc>
        <w:tc>
          <w:tcPr>
            <w:tcW w:type="dxa" w:w="4988"/>
            <w:vAlign w:val="center"/>
          </w:tcPr>
          <w:p w:rsidP="005A1FD4" w:rsidR="00A659C2" w:rsidRDefault="00E32B6D" w:rsidRPr="002A6691">
            <w:pPr>
              <w:spacing w:after="0" w:line="240" w:lineRule="auto"/>
              <w:jc w:val="center"/>
            </w:pPr>
            <w:r w:rsidR="009A6BA9">
              <w:rPr>
                <w:noProof/>
              </w:rPr>
              <w:t>85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95</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bl>
    <w:p w:rsidP="00A078D4" w:rsidR="00FE725F" w:rsidRDefault="00A078D4" w:rsidRPr="00EF34CA">
      <w:pPr>
        <w:spacing w:after="0" w:line="240" w:lineRule="auto"/>
        <w:jc w:val="center"/>
      </w:pPr>
      <w:r w:rsidRPr="00A078D4">
        <w:rPr>
          <w:noProof/>
        </w:rPr>
        <w:t/>
      </w:r>
    </w:p>
    <w:p w:rsidP="000354C1" w:rsidR="000354C1" w:rsidRDefault="00DC0C1A" w:rsidRPr="00491DF7">
      <w:pPr>
        <w:spacing w:after="0" w:line="240" w:lineRule="auto"/>
      </w:pPr>
      <w:r w:rsidRPr="00500527">
        <w:rPr>
          <w:noProof/>
        </w:rPr>
        <w:t/>
      </w:r>
    </w:p>
    <w:p w:rsidP="000354C1" w:rsidR="000354C1" w:rsidRDefault="000354C1" w:rsidRPr="004D0718">
      <w:pPr>
        <w:spacing w:after="120" w:before="120" w:line="259" w:lineRule="auto"/>
        <w:rPr>
          <w:rFonts w:asciiTheme="minorHAnsi" w:cs="Calibri" w:hAnsiTheme="minorHAnsi"/>
          <w:b/>
          <w:spacing w:val="-10"/>
          <w:lang w:val="en-US"/>
        </w:rPr>
      </w:pPr>
      <w:r w:rsidRPr="000354C1">
        <w:rPr>
          <w:rFonts w:asciiTheme="minorHAnsi" w:cs="Calibri" w:hAnsiTheme="minorHAnsi"/>
          <w:b/>
          <w:spacing w:val="-10"/>
          <w:lang w:val="en-US"/>
        </w:rPr>
        <w:t>All the activities and the Action will achieve 100% of technical progress by their actual end dates</w:t>
      </w:r>
    </w:p>
    <w:p w:rsidR="000809A7" w:rsidRDefault="000354C1" w:rsidRPr="002A6691">
      <w:pPr>
        <w:spacing w:after="0" w:line="240" w:lineRule="auto"/>
        <w:sectPr w:rsidR="000809A7" w:rsidRPr="002A6691" w:rsidSect="000809A7">
          <w:pgSz w:h="11906" w:orient="landscape" w:w="16838"/>
          <w:pgMar w:bottom="1440" w:footer="709" w:gutter="0" w:header="709" w:left="1440" w:right="737" w:top="1440"/>
          <w:cols w:space="708"/>
          <w:docGrid w:linePitch="360"/>
        </w:sectPr>
      </w:pPr>
      <w:r w:rsidRPr="00A078D4">
        <w:rPr>
          <w:noProof/>
        </w:rPr>
        <w:t/>
      </w:r>
      <w:r w:rsidR="00A30AE5" w:rsidRPr="002A6691">
        <w:br w:type="page"/>
      </w:r>
    </w:p>
    <w:p w:rsidR="00A30AE5" w:rsidRDefault="00A30AE5" w:rsidRPr="002A6691">
      <w:pPr>
        <w:spacing w:after="0" w:line="240" w:lineRule="auto"/>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A30AE5">
        <w:trPr>
          <w:trHeight w:val="264"/>
          <w:jc w:val="center"/>
        </w:trPr>
        <w:tc>
          <w:tcPr>
            <w:tcW w:type="dxa" w:w="9242"/>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sidRPr="00E624BC">
              <w:rPr>
                <w:rFonts w:ascii="Verdana" w:hAnsi="Verdana"/>
                <w:b/>
                <w:spacing w:val="-10"/>
              </w:rPr>
              <w:t xml:space="preserve">6.2. </w:t>
            </w:r>
            <w:r w:rsidRPr="00247A24">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governance and monitoring of the Action, such as organizational structure, internal coordination, communication and reporting, and decision making process;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A30AE5">
        <w:trPr>
          <w:trHeight w:val="55"/>
          <w:jc w:val="center"/>
        </w:trPr>
        <w:tc>
          <w:tcPr>
            <w:tcW w:type="dxa" w:w="9242"/>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Within our organization the Investment department is liable for the implementation of the project. The overall management and the decision making process at the department is ensured by the director and two deputy directors – the deputy director for EU funds management and the deputy director for preparation and prices management. Preparation and implementation of the projects are carried out through the following sections at O 220, performing their main activities as follows:</w:t>
              <w:br/>
              <w:t xml:space="preserve"/>
              <w:br/>
              <w:t xml:space="preserve">Section of procurement of the EU investments and projects</w:t>
              <w:br/>
              <w:t xml:space="preserve">•</w:t>
              <w:tab/>
              <w:t xml:space="preserve">organizing the entire public procurement process  (from establishing a working group for preparing tender documentation to disclosing documents after a contract has been entered into)</w:t>
              <w:br/>
              <w:t xml:space="preserve">•</w:t>
              <w:tab/>
              <w:t xml:space="preserve">cooperating in ASR preparation</w:t>
              <w:br/>
              <w:t xml:space="preserve"/>
              <w:br/>
              <w:t xml:space="preserve">Section of Proprietary Preparation of Investments</w:t>
              <w:br/>
              <w:t xml:space="preserve">•</w:t>
              <w:tab/>
              <w:t xml:space="preserve">ensuring proprietary and legal settlement for the needs of investment construction, financed from internal resources, capital transfers and EU funds</w:t>
              <w:br/>
              <w:t xml:space="preserve">•</w:t>
              <w:tab/>
              <w:t xml:space="preserve">representing Slovak Railways at expropriation proceedings as well as other proceedings related to proprietary and legal settlement of constructions</w:t>
              <w:br/>
              <w:t xml:space="preserve"/>
              <w:br/>
              <w:t xml:space="preserve">Section of EU Constructions and Projects Preparation</w:t>
              <w:br/>
              <w:t xml:space="preserve">•</w:t>
              <w:tab/>
              <w:t xml:space="preserve">complete management of project preparation constructions financed from internal resources, capital transfer and EU funds in the extent of the methodological procedure for investor activities in Slovak Railways</w:t>
              <w:br/>
              <w:t xml:space="preserve">•</w:t>
              <w:tab/>
              <w:t xml:space="preserve">processing the subjects of procurement procedures for design contractors at all design documentation stages, including requirements for an authorized construction geodesist</w:t>
              <w:br/>
              <w:t xml:space="preserve">•</w:t>
              <w:tab/>
              <w:t xml:space="preserve">preparing requests for conducting national expert inspection, intra-ministerial expert inspection, ministerial expert inspection</w:t>
              <w:br/>
              <w:t xml:space="preserve">•</w:t>
              <w:tab/>
              <w:t xml:space="preserve">preparing notifications of construction start to relevant authorities</w:t>
              <w:br/>
              <w:t xml:space="preserve">•</w:t>
              <w:tab/>
              <w:t xml:space="preserve">preparing requests for issuing approval protocols and expert assessments</w:t>
              <w:br/>
              <w:t xml:space="preserve"/>
              <w:br/>
              <w:t xml:space="preserve">Section of EU programs:</w:t>
              <w:br/>
              <w:t xml:space="preserve">•</w:t>
              <w:tab/>
              <w:t xml:space="preserve">managing of and responsibility for meeting CEF implementation conditions</w:t>
              <w:br/>
              <w:t xml:space="preserve">•</w:t>
              <w:tab/>
              <w:t xml:space="preserve">managing technical assistance of the EU programs</w:t>
              <w:br/>
              <w:t xml:space="preserve">•</w:t>
              <w:tab/>
              <w:t xml:space="preserve">organizing and managing the end beneficiary process management</w:t>
              <w:br/>
              <w:t xml:space="preserve">•</w:t>
              <w:tab/>
              <w:t xml:space="preserve">ensuring relation with state administration and the EC</w:t>
              <w:br/>
              <w:t xml:space="preserve">•</w:t>
              <w:tab/>
              <w:t xml:space="preserve">representing Slovak Railways at meetings with representatives of the EU, EC, Ministry of Transport of Slovak Republic and other organizations, responsibility for meeting conditions resulting from the Grant Agreement in the extent of activities of the Department, monitoring compliance with conditions, deadlines, deductions</w:t>
              <w:br/>
              <w:t xml:space="preserve"/>
              <w:br/>
              <w:t xml:space="preserve">Section of EU Constructions and Projects Implementation</w:t>
              <w:br/>
              <w:t xml:space="preserve">•</w:t>
              <w:tab/>
              <w:t xml:space="preserve">ensuring the control of compliance of the construction implementation with the approved project documentation, contractual conditions and the other valid legislation and the valid regulations of Slovak Railways, the Slovak Republic and the EC in the area of his scope of operation, preparation of materials in accordance with requirements and internal manuals</w:t>
              <w:br/>
              <w:t xml:space="preserve">•</w:t>
              <w:tab/>
              <w:t xml:space="preserve">control of compliance of the performance of activity of construction supervision with the Contract on Provision of Services</w:t>
              <w:br/>
              <w:t xml:space="preserve">•</w:t>
              <w:tab/>
              <w:t xml:space="preserve">participation in inspection days of the construction, technical inspections, hand-overs and take-overs, monitoring and assessing weekly, monthly and quarterly reports sent by the contractor or the building inspector, preparing documents for lockout activities and a train diagram board</w:t>
              <w:br/>
              <w:t xml:space="preserve"/>
              <w:br/>
              <w:t xml:space="preserve">Section of financial management of EU projects</w:t>
              <w:br/>
              <w:t xml:space="preserve">•</w:t>
              <w:tab/>
              <w:t xml:space="preserve">verification of the contractor´s invoices</w:t>
              <w:br/>
              <w:t xml:space="preserve">•</w:t>
              <w:tab/>
              <w:t xml:space="preserve">management of payments to the contractors</w:t>
              <w:br/>
              <w:t xml:space="preserve">•</w:t>
              <w:tab/>
              <w:t xml:space="preserve">financial reporting (requests for payment, financial statements, supporting financial documents, etc.)</w:t>
              <w:br/>
              <w:t xml:space="preserve">•</w:t>
              <w:tab/>
              <w:t xml:space="preserve">preparation of financial plans</w:t>
              <w:br/>
              <w:t xml:space="preserve">•</w:t>
              <w:tab/>
              <w:t xml:space="preserve">monitoring of financial progress </w:t>
              <w:br/>
              <w:t xml:space="preserve">•</w:t>
              <w:tab/>
              <w:t xml:space="preserve">participation in meetings related to project implementation</w:t>
              <w:br/>
              <w:t xml:space="preserve">•</w:t>
              <w:tab/>
              <w:t xml:space="preserve">cooperation on ASR preparation</w:t>
              <w:br/>
              <w:t xml:space="preserve">The given sections are being involved in communication process on regular daily basis including weekly meetings of the director, the deputy directors and the heads of the sections.</w:t>
            </w:r>
          </w:p>
        </w:tc>
      </w:tr>
    </w:tbl>
    <w:p w:rsidR="00DA5BB0" w:rsidRDefault="00DA5BB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18280C">
        <w:trPr>
          <w:trHeight w:val="264"/>
          <w:jc w:val="center"/>
        </w:trPr>
        <w:tc>
          <w:tcPr>
            <w:tcW w:type="dxa" w:w="9594"/>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Pr>
                <w:rFonts w:ascii="Verdana" w:hAnsi="Verdana"/>
                <w:b/>
                <w:spacing w:val="-10"/>
              </w:rPr>
              <w:t>6.3</w:t>
            </w:r>
            <w:r w:rsidRPr="00E624BC">
              <w:rPr>
                <w:rFonts w:ascii="Verdana" w:hAnsi="Verdana"/>
                <w:b/>
                <w:spacing w:val="-10"/>
              </w:rPr>
              <w:t xml:space="preserve">. </w:t>
            </w:r>
            <w:r>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other relevant administrative provisions, such as quality controls and audits;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18280C">
        <w:trPr>
          <w:trHeight w:val="55"/>
          <w:jc w:val="center"/>
        </w:trPr>
        <w:tc>
          <w:tcPr>
            <w:tcW w:type="dxa" w:w="9594"/>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So far, no external audits related to the Action have been performed.</w:t>
              <w:br/>
              <w:t xml:space="preserve">During the period from 20.10.2020 to 04.12.2020 the internal audit has been performed with the following result:</w:t>
              <w:br/>
              <w:t xml:space="preserve">•</w:t>
              <w:tab/>
              <w:t xml:space="preserve">The audit did not identify any deficiencies that could be qualified as risky in terms of compliance with the contract between ŽSR-PRODEX spol. s r. o . (from 01.05.2020 - VALBEK &amp; PRODEX, spol. s r. o.).</w:t>
              <w:br/>
              <w:t xml:space="preserve">and one recommendation:</w:t>
              <w:br/>
              <w:t xml:space="preserve">•</w:t>
              <w:tab/>
              <w:t xml:space="preserve">To update in full the document "Methodological procedure for investment activities at ŽSR" effective from 01 July 2009, supplemented by amendments 1, 2.</w:t>
              <w:br/>
              <w:t xml:space="preserve">The preparation of project documentation for a wide range of specialized activities requires the cooperation of all relevant departments of the Railways of Slovak Republic.</w:t>
              <w:br/>
              <w:t xml:space="preserve">Communication is carried out in the form of official correspondence, working meetings at the level of the specialized branches of the Railways of Slovak Republic providing the operation and at the level of Railways of Slovak Republic General Directorate.</w:t>
            </w:r>
          </w:p>
        </w:tc>
      </w:tr>
    </w:tbl>
    <w:p w:rsidP="00034E46" w:rsidR="00DA5BB0" w:rsidRDefault="00DA5BB0" w:rsidRPr="00034E46">
      <w:pPr>
        <w:spacing w:after="120" w:before="120"/>
        <w:ind w:left="113"/>
        <w:rPr>
          <w:rFonts w:ascii="Verdana" w:hAnsi="Verdana"/>
        </w:rPr>
      </w:pPr>
      <w:r w:rsidRPr="00AE7828">
        <w:rPr>
          <w:rFonts w:ascii="Verdana" w:hAnsi="Verdana"/>
        </w:rPr>
        <w:t>ANNEX: Financial information (GA II.23.1.1.d</w:t>
      </w:r>
      <w:r>
        <w:rPr>
          <w:rFonts w:ascii="Verdana" w:hAnsi="Verdana"/>
        </w:rPr>
        <w:t xml:space="preserve"> to </w:t>
      </w:r>
      <w:r w:rsidRPr="00AE7828">
        <w:rPr>
          <w:rFonts w:ascii="Verdana" w:hAnsi="Verdana"/>
        </w:rPr>
        <w:t xml:space="preserve">f or </w:t>
      </w:r>
      <w:r>
        <w:rPr>
          <w:rFonts w:ascii="Verdana" w:hAnsi="Verdana"/>
        </w:rPr>
        <w:t xml:space="preserve">SESAR FPA </w:t>
      </w:r>
      <w:r w:rsidRPr="00AE7828">
        <w:rPr>
          <w:rFonts w:ascii="Verdana" w:hAnsi="Verdana"/>
        </w:rPr>
        <w:t>II.23.1b.d to f)</w:t>
      </w:r>
      <w:r w:rsidRPr="00AE7828">
        <w:rPr>
          <w:rFonts w:ascii="Verdana" w:hAnsi="Verdana"/>
          <w:spacing w:val="-10"/>
          <w:highlight w:val="yellow"/>
        </w:rPr>
        <w:br w:type="page"/>
      </w:r>
    </w:p>
    <w:p w:rsidR="00DA5BB0" w:rsidRDefault="00DA5BB0"/>
    <w:tbl>
      <w:tblPr>
        <w:tblW w:type="pct" w:w="5000"/>
        <w:jc w:val="center"/>
        <w:tblLook w:firstColumn="1" w:firstRow="1" w:lastColumn="0" w:lastRow="0" w:noHBand="0" w:noVBand="1" w:val="04A0"/>
      </w:tblPr>
      <w:tblGrid>
        <w:gridCol w:w="2412"/>
        <w:gridCol w:w="6830"/>
      </w:tblGrid>
      <w:tr w:rsidR="00034E46" w:rsidRPr="006405BD" w:rsidTr="0018280C">
        <w:trPr>
          <w:trHeight w:val="1320"/>
          <w:jc w:val="center"/>
        </w:trPr>
        <w:tc>
          <w:tcPr>
            <w:tcW w:type="dxa" w:w="9594"/>
            <w:gridSpan w:val="2"/>
            <w:vMerge w:val="restart"/>
            <w:tcBorders>
              <w:top w:color="auto" w:space="0" w:sz="8" w:val="single"/>
              <w:left w:color="auto" w:space="0" w:sz="8" w:val="single"/>
              <w:bottom w:color="000000" w:space="0" w:sz="8" w:val="single"/>
              <w:right w:color="000000" w:space="0" w:sz="8" w:val="single"/>
            </w:tcBorders>
            <w:shd w:color="000000" w:fill="99CCFF" w:val="clear"/>
            <w:vAlign w:val="center"/>
            <w:hideMark/>
          </w:tcPr>
          <w:p w:rsidP="00887EE8" w:rsidR="00034E46" w:rsidRDefault="00034E46" w:rsidRPr="002B0D3F">
            <w:pPr>
              <w:spacing w:after="0" w:line="240" w:lineRule="auto"/>
              <w:jc w:val="center"/>
              <w:rPr>
                <w:rFonts w:ascii="Verdana" w:cs="Arial" w:eastAsia="Times New Roman" w:hAnsi="Verdana"/>
                <w:b/>
                <w:bCs/>
                <w:sz w:val="24"/>
                <w:szCs w:val="24"/>
                <w:lang w:eastAsia="en-GB"/>
              </w:rPr>
            </w:pPr>
            <w:bookmarkStart w:id="1" w:name="RANGE!B3"/>
            <w:r w:rsidRPr="002B0D3F">
              <w:rPr>
                <w:rFonts w:ascii="Verdana" w:cs="Arial" w:eastAsia="Times New Roman" w:hAnsi="Verdana"/>
                <w:b/>
                <w:bCs/>
                <w:sz w:val="24"/>
                <w:szCs w:val="24"/>
                <w:lang w:eastAsia="en-GB"/>
              </w:rPr>
              <w:t>CERTIFICATION OF THE MEMBER STATE</w:t>
            </w:r>
            <w:r w:rsidRPr="00DA58BF">
              <w:rPr>
                <w:rFonts w:ascii="Verdana" w:cs="Arial" w:eastAsia="Times New Roman" w:hAnsi="Verdana"/>
                <w:b/>
                <w:bCs/>
                <w:sz w:val="24"/>
                <w:szCs w:val="24"/>
                <w:vertAlign w:val="superscript"/>
                <w:lang w:eastAsia="en-GB"/>
              </w:rPr>
              <w:t>*</w:t>
            </w:r>
          </w:p>
          <w:p w:rsidP="00887EE8" w:rsidR="00034E46" w:rsidRDefault="00034E46" w:rsidRPr="002B0D3F">
            <w:pPr>
              <w:spacing w:after="0" w:line="240" w:lineRule="auto"/>
              <w:jc w:val="center"/>
              <w:rPr>
                <w:rFonts w:ascii="Verdana" w:cs="Arial" w:eastAsia="Times New Roman" w:hAnsi="Verdana"/>
                <w:b/>
                <w:bCs/>
                <w:sz w:val="24"/>
                <w:szCs w:val="24"/>
                <w:lang w:eastAsia="en-GB"/>
              </w:rPr>
            </w:pPr>
            <w:r w:rsidRPr="002B0D3F">
              <w:rPr>
                <w:rFonts w:ascii="Verdana" w:cs="Arial" w:eastAsia="Times New Roman" w:hAnsi="Verdana"/>
                <w:sz w:val="24"/>
                <w:szCs w:val="24"/>
                <w:lang w:eastAsia="en-GB"/>
              </w:rPr>
              <w:t>(applicable only for ASR and for beneficiaries established in the European Union)</w:t>
            </w:r>
            <w:bookmarkEnd w:id="1"/>
          </w:p>
        </w:tc>
      </w:tr>
      <w:tr w:rsidR="00034E46" w:rsidRPr="006405BD" w:rsidTr="0018280C">
        <w:trPr>
          <w:trHeight w:val="389"/>
          <w:jc w:val="center"/>
        </w:trPr>
        <w:tc>
          <w:tcPr>
            <w:tcW w:type="dxa" w:w="9594"/>
            <w:gridSpan w:val="2"/>
            <w:vMerge/>
            <w:tcBorders>
              <w:top w:color="auto" w:space="0" w:sz="8" w:val="single"/>
              <w:left w:color="auto" w:space="0" w:sz="8" w:val="single"/>
              <w:bottom w:color="000000" w:space="0" w:sz="8" w:val="single"/>
              <w:right w:color="000000" w:space="0" w:sz="8" w:val="single"/>
            </w:tcBorders>
            <w:vAlign w:val="center"/>
            <w:hideMark/>
          </w:tcPr>
          <w:p w:rsidP="00887EE8" w:rsidR="00034E46" w:rsidRDefault="00034E46" w:rsidRPr="002B0D3F">
            <w:pPr>
              <w:spacing w:after="0" w:line="240" w:lineRule="auto"/>
              <w:rPr>
                <w:rFonts w:ascii="Verdana" w:cs="Arial" w:eastAsia="Times New Roman" w:hAnsi="Verdana"/>
                <w:b/>
                <w:bCs/>
                <w:sz w:val="24"/>
                <w:szCs w:val="24"/>
                <w:lang w:eastAsia="en-GB"/>
              </w:rPr>
            </w:pP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Name</w:t>
            </w:r>
          </w:p>
        </w:tc>
        <w:tc>
          <w:tcPr>
            <w:tcW w:type="dxa" w:w="7094"/>
            <w:tcBorders>
              <w:top w:color="auto" w:space="0" w:sz="8" w:val="single"/>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Position</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6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Pr>
                <w:rFonts w:ascii="Verdana" w:cs="Arial" w:eastAsia="Times New Roman" w:hAnsi="Verdana"/>
                <w:sz w:val="24"/>
                <w:szCs w:val="24"/>
                <w:lang w:eastAsia="en-GB"/>
              </w:rPr>
              <w:t>Entity</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Telephone Nº</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E-mail</w:t>
            </w:r>
          </w:p>
        </w:tc>
        <w:tc>
          <w:tcPr>
            <w:tcW w:type="dxa" w:w="7094"/>
            <w:tcBorders>
              <w:top w:val="nil"/>
              <w:left w:val="nil"/>
              <w:bottom w:color="auto" w:space="0" w:sz="8"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585"/>
          <w:jc w:val="center"/>
        </w:trPr>
        <w:tc>
          <w:tcPr>
            <w:tcW w:type="dxa" w:w="9594"/>
            <w:gridSpan w:val="2"/>
            <w:tcBorders>
              <w:top w:color="auto" w:space="0" w:sz="8" w:val="single"/>
              <w:left w:color="auto" w:space="0" w:sz="8" w:val="single"/>
              <w:bottom w:val="nil"/>
              <w:right w:color="000000" w:space="0" w:sz="8" w:val="single"/>
            </w:tcBorders>
            <w:shd w:color="000000" w:fill="FFFF99" w:val="clear"/>
            <w:noWrap/>
            <w:vAlign w:val="center"/>
            <w:hideMark/>
          </w:tcPr>
          <w:p w:rsidP="00887EE8" w:rsidR="00034E46" w:rsidRDefault="00034E46">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In compliance with Article II.23.1</w:t>
            </w:r>
            <w:r>
              <w:rPr>
                <w:rFonts w:ascii="Verdana" w:cs="Arial" w:eastAsia="Times New Roman" w:hAnsi="Verdana"/>
                <w:sz w:val="24"/>
                <w:szCs w:val="24"/>
                <w:lang w:eastAsia="en-GB"/>
              </w:rPr>
              <w:t xml:space="preserve"> (</w:t>
            </w:r>
            <w:r w:rsidRPr="00AE7828">
              <w:rPr>
                <w:rFonts w:ascii="Verdana" w:cs="Arial" w:eastAsia="Times New Roman" w:hAnsi="Verdana"/>
                <w:sz w:val="24"/>
                <w:szCs w:val="24"/>
                <w:lang w:eastAsia="en-GB"/>
              </w:rPr>
              <w:t xml:space="preserve">or </w:t>
            </w:r>
            <w:r>
              <w:rPr>
                <w:rFonts w:ascii="Verdana" w:cs="Arial" w:eastAsia="Times New Roman" w:hAnsi="Verdana"/>
                <w:sz w:val="24"/>
                <w:szCs w:val="24"/>
                <w:lang w:eastAsia="en-GB"/>
              </w:rPr>
              <w:t xml:space="preserve">SESAR FPA </w:t>
            </w:r>
            <w:r w:rsidRPr="00AE7828">
              <w:rPr>
                <w:rFonts w:ascii="Verdana" w:cs="Arial" w:eastAsia="Times New Roman" w:hAnsi="Verdana"/>
                <w:sz w:val="24"/>
                <w:szCs w:val="24"/>
                <w:lang w:eastAsia="en-GB"/>
              </w:rPr>
              <w:t>II.23.1b)</w:t>
            </w:r>
            <w:r w:rsidRPr="006405BD">
              <w:rPr>
                <w:rFonts w:ascii="Verdana" w:cs="Arial" w:eastAsia="Times New Roman" w:hAnsi="Verdana"/>
                <w:sz w:val="24"/>
                <w:szCs w:val="24"/>
                <w:lang w:eastAsia="en-GB"/>
              </w:rPr>
              <w:t xml:space="preserve"> of the GA, it is certified that the information provided </w:t>
            </w:r>
            <w:r>
              <w:rPr>
                <w:rFonts w:ascii="Verdana" w:cs="Arial" w:eastAsia="Times New Roman" w:hAnsi="Verdana"/>
                <w:sz w:val="24"/>
                <w:szCs w:val="24"/>
                <w:lang w:eastAsia="en-GB"/>
              </w:rPr>
              <w:t xml:space="preserve">by the following Beneficiary(ies) </w:t>
            </w:r>
            <w:r w:rsidRPr="006405BD">
              <w:rPr>
                <w:rFonts w:ascii="Verdana" w:cs="Arial" w:eastAsia="Times New Roman" w:hAnsi="Verdana"/>
                <w:sz w:val="24"/>
                <w:szCs w:val="24"/>
                <w:lang w:eastAsia="en-GB"/>
              </w:rPr>
              <w:t>in the ASR is full, reliable and true.</w:t>
            </w:r>
          </w:p>
          <w:p w:rsidP="00E37589" w:rsidR="006F3248" w:rsidRDefault="009B50DB" w:rsidRPr="00E37589">
            <w:pPr>
              <w:spacing w:after="0" w:line="240" w:lineRule="auto"/>
              <w:rPr>
                <w:rFonts w:ascii="Verdana" w:cs="Arial" w:eastAsia="Times New Roman" w:hAnsi="Verdana"/>
                <w:sz w:val="24"/>
                <w:szCs w:val="24"/>
                <w:lang w:eastAsia="en-GB"/>
              </w:rPr>
            </w:pPr>
            <w:r>
              <w:rPr>
                <w:rFonts w:ascii="Verdana" w:cs="Arial" w:eastAsia="Times New Roman" w:hAnsi="Verdana"/>
                <w:noProof/>
                <w:sz w:val="24"/>
                <w:szCs w:val="24"/>
                <w:lang w:eastAsia="en-GB"/>
              </w:rPr>
              <w:t/>
            </w:r>
          </w:p>
          <w:p w:rsidP="00C11AF2" w:rsidR="00034E46" w:rsidRDefault="006F3248" w:rsidRPr="00B21FD8">
            <w:pPr>
              <w:pStyle w:val="ListParagraph"/>
              <w:numPr>
                <w:ilvl w:val="0"/>
                <w:numId w:val="4"/>
              </w:numPr>
              <w:ind w:hanging="357" w:left="714"/>
              <w:contextualSpacing w:val="0"/>
              <w:rPr>
                <w:rFonts w:ascii="Verdana" w:cs="Times New Roman" w:hAnsi="Verdana"/>
                <w:bCs/>
                <w:sz w:val="20"/>
              </w:rPr>
            </w:pPr>
            <w:r w:rsidRPr="006F3248">
              <w:rPr>
                <w:rFonts w:ascii="Verdana" w:hAnsi="Verdana"/>
                <w:bCs/>
                <w:noProof/>
                <w:sz w:val="20"/>
              </w:rPr>
              <w:t>Železnice Slovenskej republiky</w:t>
            </w:r>
            <w:r w:rsidR="00B21FD8" w:rsidRPr="006F3248">
              <w:rPr>
                <w:rFonts w:ascii="Verdana" w:cs="Times New Roman" w:hAnsi="Verdana"/>
                <w:bCs/>
                <w:sz w:val="20"/>
              </w:rPr>
              <w:t/>
            </w:r>
          </w:p>
        </w:tc>
      </w:tr>
      <w:tr w:rsidR="00034E46" w:rsidRPr="006405BD" w:rsidTr="0018280C">
        <w:trPr>
          <w:trHeight w:val="525"/>
          <w:jc w:val="center"/>
        </w:trPr>
        <w:tc>
          <w:tcPr>
            <w:tcW w:type="dxa" w:w="9594"/>
            <w:gridSpan w:val="2"/>
            <w:vMerge w:val="restart"/>
            <w:tcBorders>
              <w:top w:val="nil"/>
              <w:left w:color="auto" w:space="0" w:sz="8" w:val="single"/>
              <w:bottom w:val="nil"/>
              <w:right w:color="000000" w:space="0" w:sz="8" w:val="single"/>
            </w:tcBorders>
            <w:shd w:color="000000" w:fill="FFFF99"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9594"/>
            <w:gridSpan w:val="2"/>
            <w:vMerge/>
            <w:tcBorders>
              <w:top w:val="nil"/>
              <w:left w:color="auto" w:space="0" w:sz="8" w:val="single"/>
              <w:bottom w:val="nil"/>
              <w:right w:color="000000"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color="auto" w:space="0" w:sz="18" w:val="single"/>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Date and signature</w:t>
            </w:r>
          </w:p>
        </w:tc>
        <w:tc>
          <w:tcPr>
            <w:tcW w:type="dxa" w:w="7094"/>
            <w:vMerge w:val="restart"/>
            <w:tcBorders>
              <w:top w:color="auto" w:space="0" w:sz="8" w:val="single"/>
              <w:left w:color="auto" w:space="0" w:sz="8" w:val="single"/>
              <w:bottom w:color="000000" w:space="0" w:sz="8" w:val="single"/>
              <w:right w:color="000000" w:space="0" w:sz="8" w:val="single"/>
            </w:tcBorders>
            <w:shd w:color="auto" w:fill="auto"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r w:rsidRPr="00373E25">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bookmarkStart w:id="2" w:name="RANGE!B4"/>
            <w:bookmarkStart w:id="3" w:name="RANGE!B19"/>
            <w:bookmarkEnd w:id="2"/>
            <w:r w:rsidRPr="006405BD">
              <w:rPr>
                <w:rFonts w:ascii="Verdana" w:cs="Arial" w:eastAsia="Times New Roman" w:hAnsi="Verdana"/>
                <w:sz w:val="24"/>
                <w:szCs w:val="24"/>
                <w:lang w:eastAsia="en-GB"/>
              </w:rPr>
              <w:t> </w:t>
            </w:r>
            <w:bookmarkEnd w:id="3"/>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w:t>
            </w:r>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xml:space="preserve"> </w:t>
            </w:r>
          </w:p>
        </w:tc>
        <w:tc>
          <w:tcPr>
            <w:tcW w:type="dxa" w:w="7094"/>
            <w:vMerge/>
            <w:tcBorders>
              <w:top w:val="nil"/>
              <w:left w:color="auto" w:space="0" w:sz="8" w:val="single"/>
              <w:bottom w:color="auto"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val="restart"/>
            <w:tcBorders>
              <w:top w:val="nil"/>
              <w:left w:color="auto" w:space="0" w:sz="8" w:val="single"/>
              <w:bottom w:color="000000"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Stamp (optional)</w:t>
            </w: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bl>
    <w:p w:rsidP="00034E46" w:rsidR="00034E46" w:rsidRDefault="00034E46" w:rsidRPr="00DA58BF">
      <w:pPr>
        <w:spacing w:after="120" w:before="120"/>
        <w:ind w:left="113"/>
        <w:rPr>
          <w:rFonts w:ascii="Verdana" w:hAnsi="Verdana"/>
        </w:rPr>
      </w:pPr>
      <w:r w:rsidRPr="00DA58BF">
        <w:rPr>
          <w:rFonts w:ascii="Verdana" w:hAnsi="Verdana"/>
        </w:rPr>
        <w:t xml:space="preserve">* In line with the terms of Art. </w:t>
      </w:r>
      <w:r>
        <w:rPr>
          <w:rFonts w:ascii="Verdana" w:hAnsi="Verdana"/>
        </w:rPr>
        <w:t>22 of the CEF Regulation</w:t>
      </w:r>
    </w:p>
    <w:p w:rsidR="0088073E" w:rsidRDefault="0088073E"/>
    <w:p w:rsidR="00AB36AE" w:rsidRDefault="00AB36AE"/>
    <w:sectPr w:rsidR="00AB36AE" w:rsidSect="00876A81">
      <w:pgSz w:h="16838" w:w="11906"/>
      <w:pgMar w:bottom="1440" w:footer="709" w:gutter="0" w:header="709" w:left="1440" w:right="1440" w:top="7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B6D" w:rsidRDefault="00E32B6D" w:rsidP="00D51F72">
      <w:pPr>
        <w:spacing w:after="0" w:line="240" w:lineRule="auto"/>
      </w:pPr>
      <w:r>
        <w:separator/>
      </w:r>
    </w:p>
  </w:endnote>
  <w:endnote w:type="continuationSeparator" w:id="0">
    <w:p w:rsidR="00E32B6D" w:rsidRDefault="00E32B6D"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38025320"/>
      <w:docPartObj>
        <w:docPartGallery w:val="Page Numbers (Bottom of Page)"/>
        <w:docPartUnique/>
      </w:docPartObj>
    </w:sdtPr>
    <w:sdtEndPr>
      <w:rPr>
        <w:noProof/>
      </w:rPr>
    </w:sdtEndPr>
    <w:sdtContent>
      <w:p w:rsidP="00946550" w:rsidR="00B96929" w:rsidRDefault="00E035B3">
        <w:pPr>
          <w:pStyle w:val="Footer"/>
          <w:rPr>
            <w:noProof/>
          </w:rPr>
        </w:pPr>
        <w:r w:rsidR="00946550">
          <w:rPr>
            <w:noProof/>
          </w:rPr>
          <w:t>2016-SK-TMC-0220-S_ASR2024_1_20240328_0918</w:t>
        </w:r>
        <w:r w:rsidR="00946550">
          <w:ptab w:alignment="right" w:leader="none" w:relativeTo="margin"/>
        </w:r>
        <w:r w:rsidR="00B96929">
          <w:fldChar w:fldCharType="begin"/>
        </w:r>
        <w:r w:rsidR="00B96929">
          <w:instrText xml:space="preserve"> PAGE   \* MERGEFORMAT </w:instrText>
        </w:r>
        <w:r w:rsidR="00B96929">
          <w:fldChar w:fldCharType="separate"/>
        </w:r>
        <w:r w:rsidR="00251DEF">
          <w:rPr>
            <w:noProof/>
          </w:rPr>
          <w:t>5</w:t>
        </w:r>
        <w:r w:rsidR="00B96929">
          <w:rPr>
            <w:noProof/>
          </w:rPr>
          <w:fldChar w:fldCharType="end"/>
        </w:r>
      </w:p>
      <w:p w:rsidP="00B96929" w:rsidR="00D51F72" w:rsidRDefault="00E32B6D">
        <w:pPr>
          <w:pStyle w:val="Footer"/>
          <w:jc w:val="right"/>
          <w:rPr>
            <w:noProof/>
          </w:rPr>
        </w:pP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D51F72" w:rsidR="00E32B6D" w:rsidRDefault="00E32B6D">
      <w:pPr>
        <w:spacing w:after="0" w:line="240" w:lineRule="auto"/>
      </w:pPr>
      <w:r>
        <w:separator/>
      </w:r>
    </w:p>
  </w:footnote>
  <w:footnote w:id="0" w:type="continuationSeparator">
    <w:p w:rsidP="00D51F72" w:rsidR="00E32B6D" w:rsidRDefault="00E32B6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7C468B" w:rsidR="00D51F72" w:rsidRDefault="007C468B">
    <w:pPr>
      <w:spacing w:after="0" w:line="240" w:lineRule="auto"/>
      <w:jc w:val="right"/>
    </w:pPr>
    <w:r w:rsidRPr="00DB078F">
      <w:rPr>
        <w:i/>
      </w:rPr>
      <w:t xml:space="preserve">Reporting period: </w:t>
    </w:r>
    <w:r w:rsidR="00DC7DF8">
      <w:rPr>
        <w:i/>
        <w:noProof/>
      </w:rPr>
      <w:t>1 January 2023 - 31 December 2023</w: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42FC0FBB"/>
    <w:multiLevelType w:val="hybridMultilevel"/>
    <w:tmpl w:val="541E9C7A"/>
    <w:lvl w:ilvl="0" w:tplc="E6EA5A96">
      <w:start w:val="1"/>
      <w:numFmt w:val="bullet"/>
      <w:lvlText w:val="£"/>
      <w:lvlJc w:val="left"/>
      <w:pPr>
        <w:ind w:hanging="360" w:left="720"/>
      </w:pPr>
      <w:rPr>
        <w:rFonts w:ascii="Wingdings 2" w:hAnsi="Wingdings 2" w:hint="default"/>
      </w:rPr>
    </w:lvl>
    <w:lvl w:ilvl="1" w:tentative="1" w:tplc="08090003">
      <w:start w:val="1"/>
      <w:numFmt w:val="bullet"/>
      <w:lvlText w:val="o"/>
      <w:lvlJc w:val="left"/>
      <w:pPr>
        <w:ind w:hanging="360" w:left="1440"/>
      </w:pPr>
      <w:rPr>
        <w:rFonts w:ascii="Courier New" w:cs="Courier New" w:hAnsi="Courier New" w:hint="default"/>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
    <w:nsid w:val="700F4B24"/>
    <w:multiLevelType w:val="hybridMultilevel"/>
    <w:tmpl w:val="8E0A96DE"/>
    <w:lvl w:ilvl="0" w:tplc="542694EE">
      <w:start w:val="1"/>
      <w:numFmt w:val="lowerLetter"/>
      <w:lvlText w:val="%1)"/>
      <w:lvlJc w:val="left"/>
      <w:pPr>
        <w:ind w:hanging="360" w:left="360"/>
      </w:pPr>
      <w:rPr>
        <w:b/>
        <w:i w:val="0"/>
      </w:rPr>
    </w:lvl>
    <w:lvl w:ilvl="1" w:tentative="1" w:tplc="08090019">
      <w:start w:val="1"/>
      <w:numFmt w:val="lowerLetter"/>
      <w:lvlText w:val="%2."/>
      <w:lvlJc w:val="left"/>
      <w:pPr>
        <w:ind w:hanging="360" w:left="1080"/>
      </w:pPr>
    </w:lvl>
    <w:lvl w:ilvl="2" w:tentative="1" w:tplc="0809001B">
      <w:start w:val="1"/>
      <w:numFmt w:val="lowerRoman"/>
      <w:lvlText w:val="%3."/>
      <w:lvlJc w:val="right"/>
      <w:pPr>
        <w:ind w:hanging="180" w:left="1800"/>
      </w:pPr>
    </w:lvl>
    <w:lvl w:ilvl="3" w:tentative="1" w:tplc="0809000F">
      <w:start w:val="1"/>
      <w:numFmt w:val="decimal"/>
      <w:lvlText w:val="%4."/>
      <w:lvlJc w:val="left"/>
      <w:pPr>
        <w:ind w:hanging="360" w:left="2520"/>
      </w:pPr>
    </w:lvl>
    <w:lvl w:ilvl="4" w:tentative="1" w:tplc="08090019">
      <w:start w:val="1"/>
      <w:numFmt w:val="lowerLetter"/>
      <w:lvlText w:val="%5."/>
      <w:lvlJc w:val="left"/>
      <w:pPr>
        <w:ind w:hanging="360" w:left="3240"/>
      </w:pPr>
    </w:lvl>
    <w:lvl w:ilvl="5" w:tentative="1" w:tplc="0809001B">
      <w:start w:val="1"/>
      <w:numFmt w:val="lowerRoman"/>
      <w:lvlText w:val="%6."/>
      <w:lvlJc w:val="right"/>
      <w:pPr>
        <w:ind w:hanging="180" w:left="3960"/>
      </w:pPr>
    </w:lvl>
    <w:lvl w:ilvl="6" w:tentative="1" w:tplc="0809000F">
      <w:start w:val="1"/>
      <w:numFmt w:val="decimal"/>
      <w:lvlText w:val="%7."/>
      <w:lvlJc w:val="left"/>
      <w:pPr>
        <w:ind w:hanging="360" w:left="4680"/>
      </w:pPr>
    </w:lvl>
    <w:lvl w:ilvl="7" w:tentative="1" w:tplc="08090019">
      <w:start w:val="1"/>
      <w:numFmt w:val="lowerLetter"/>
      <w:lvlText w:val="%8."/>
      <w:lvlJc w:val="left"/>
      <w:pPr>
        <w:ind w:hanging="360" w:left="5400"/>
      </w:pPr>
    </w:lvl>
    <w:lvl w:ilvl="8" w:tentative="1" w:tplc="0809001B">
      <w:start w:val="1"/>
      <w:numFmt w:val="lowerRoman"/>
      <w:lvlText w:val="%9."/>
      <w:lvlJc w:val="right"/>
      <w:pPr>
        <w:ind w:hanging="180" w:left="6120"/>
      </w:pPr>
    </w:lvl>
  </w:abstractNum>
  <w:abstractNum w15:restartNumberingAfterBreak="0" w:abstractNumId="2">
    <w:nsid w:val="74471AFE"/>
    <w:multiLevelType w:val="hybridMultilevel"/>
    <w:tmpl w:val="93884DA6"/>
    <w:lvl w:ilvl="0" w:tplc="08090017">
      <w:start w:val="1"/>
      <w:numFmt w:val="lowerLetter"/>
      <w:lvlText w:val="%1)"/>
      <w:lvlJc w:val="left"/>
      <w:pPr>
        <w:ind w:hanging="360" w:left="473"/>
      </w:pPr>
      <w:rPr>
        <w:rFonts w:hint="default"/>
      </w:rPr>
    </w:lvl>
    <w:lvl w:ilvl="1" w:tentative="1" w:tplc="08090003">
      <w:start w:val="1"/>
      <w:numFmt w:val="bullet"/>
      <w:lvlText w:val="o"/>
      <w:lvlJc w:val="left"/>
      <w:pPr>
        <w:ind w:hanging="360" w:left="1193"/>
      </w:pPr>
      <w:rPr>
        <w:rFonts w:ascii="Courier New" w:cs="Courier New" w:hAnsi="Courier New" w:hint="default"/>
      </w:rPr>
    </w:lvl>
    <w:lvl w:ilvl="2" w:tentative="1" w:tplc="08090005">
      <w:start w:val="1"/>
      <w:numFmt w:val="bullet"/>
      <w:lvlText w:val=""/>
      <w:lvlJc w:val="left"/>
      <w:pPr>
        <w:ind w:hanging="360" w:left="1913"/>
      </w:pPr>
      <w:rPr>
        <w:rFonts w:ascii="Wingdings" w:hAnsi="Wingdings" w:hint="default"/>
      </w:rPr>
    </w:lvl>
    <w:lvl w:ilvl="3" w:tentative="1" w:tplc="08090001">
      <w:start w:val="1"/>
      <w:numFmt w:val="bullet"/>
      <w:lvlText w:val=""/>
      <w:lvlJc w:val="left"/>
      <w:pPr>
        <w:ind w:hanging="360" w:left="2633"/>
      </w:pPr>
      <w:rPr>
        <w:rFonts w:ascii="Symbol" w:hAnsi="Symbol" w:hint="default"/>
      </w:rPr>
    </w:lvl>
    <w:lvl w:ilvl="4" w:tentative="1" w:tplc="08090003">
      <w:start w:val="1"/>
      <w:numFmt w:val="bullet"/>
      <w:lvlText w:val="o"/>
      <w:lvlJc w:val="left"/>
      <w:pPr>
        <w:ind w:hanging="360" w:left="3353"/>
      </w:pPr>
      <w:rPr>
        <w:rFonts w:ascii="Courier New" w:cs="Courier New" w:hAnsi="Courier New" w:hint="default"/>
      </w:rPr>
    </w:lvl>
    <w:lvl w:ilvl="5" w:tentative="1" w:tplc="08090005">
      <w:start w:val="1"/>
      <w:numFmt w:val="bullet"/>
      <w:lvlText w:val=""/>
      <w:lvlJc w:val="left"/>
      <w:pPr>
        <w:ind w:hanging="360" w:left="4073"/>
      </w:pPr>
      <w:rPr>
        <w:rFonts w:ascii="Wingdings" w:hAnsi="Wingdings" w:hint="default"/>
      </w:rPr>
    </w:lvl>
    <w:lvl w:ilvl="6" w:tentative="1" w:tplc="08090001">
      <w:start w:val="1"/>
      <w:numFmt w:val="bullet"/>
      <w:lvlText w:val=""/>
      <w:lvlJc w:val="left"/>
      <w:pPr>
        <w:ind w:hanging="360" w:left="4793"/>
      </w:pPr>
      <w:rPr>
        <w:rFonts w:ascii="Symbol" w:hAnsi="Symbol" w:hint="default"/>
      </w:rPr>
    </w:lvl>
    <w:lvl w:ilvl="7" w:tentative="1" w:tplc="08090003">
      <w:start w:val="1"/>
      <w:numFmt w:val="bullet"/>
      <w:lvlText w:val="o"/>
      <w:lvlJc w:val="left"/>
      <w:pPr>
        <w:ind w:hanging="360" w:left="5513"/>
      </w:pPr>
      <w:rPr>
        <w:rFonts w:ascii="Courier New" w:cs="Courier New" w:hAnsi="Courier New" w:hint="default"/>
      </w:rPr>
    </w:lvl>
    <w:lvl w:ilvl="8" w:tentative="1" w:tplc="08090005">
      <w:start w:val="1"/>
      <w:numFmt w:val="bullet"/>
      <w:lvlText w:val=""/>
      <w:lvlJc w:val="left"/>
      <w:pPr>
        <w:ind w:hanging="360" w:left="6233"/>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removePersonalInformation/>
  <w:removeDateAndTime/>
  <w:documentProtection w:enforcement="1" w:edit="readOnly" w:salt="wgtJsBrjyL6+IX/aQJ60AQ==" w:hash="YGMRrYg3f/N5Uikb5hX6JnnxTqQ=" w:cryptSpinCount="100000" w:cryptAlgorithmType="typeAny" w:cryptAlgorithmClass="hash" w:cryptProviderType="rsaFull" w:cryptAlgorithmSid="4"/>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2B21"/>
    <w:rsid w:val="00025515"/>
    <w:rsid w:val="000260A2"/>
    <w:rsid w:val="0002778D"/>
    <w:rsid w:val="00027F4D"/>
    <w:rsid w:val="00034E46"/>
    <w:rsid w:val="000354C1"/>
    <w:rsid w:val="00053FC4"/>
    <w:rsid w:val="0005410F"/>
    <w:rsid w:val="00054F39"/>
    <w:rsid w:val="000631F7"/>
    <w:rsid w:val="000809A7"/>
    <w:rsid w:val="00082602"/>
    <w:rsid w:val="000832D2"/>
    <w:rsid w:val="00084A9D"/>
    <w:rsid w:val="00086FAC"/>
    <w:rsid w:val="00087AE6"/>
    <w:rsid w:val="000A3373"/>
    <w:rsid w:val="000A7141"/>
    <w:rsid w:val="000A7676"/>
    <w:rsid w:val="000B07F3"/>
    <w:rsid w:val="000B112E"/>
    <w:rsid w:val="000B62E9"/>
    <w:rsid w:val="000C116D"/>
    <w:rsid w:val="000C4382"/>
    <w:rsid w:val="000C4905"/>
    <w:rsid w:val="000C4B70"/>
    <w:rsid w:val="000C5A38"/>
    <w:rsid w:val="000D5E6F"/>
    <w:rsid w:val="000E3766"/>
    <w:rsid w:val="000E6B2B"/>
    <w:rsid w:val="000F2860"/>
    <w:rsid w:val="000F4B41"/>
    <w:rsid w:val="000F75C8"/>
    <w:rsid w:val="00101CE2"/>
    <w:rsid w:val="001108B7"/>
    <w:rsid w:val="00112088"/>
    <w:rsid w:val="00113C83"/>
    <w:rsid w:val="00114F23"/>
    <w:rsid w:val="001279D8"/>
    <w:rsid w:val="0013166D"/>
    <w:rsid w:val="00131D17"/>
    <w:rsid w:val="00136AD4"/>
    <w:rsid w:val="00137F72"/>
    <w:rsid w:val="001406A3"/>
    <w:rsid w:val="00150FB2"/>
    <w:rsid w:val="00151E51"/>
    <w:rsid w:val="0018208C"/>
    <w:rsid w:val="0018280C"/>
    <w:rsid w:val="00183D92"/>
    <w:rsid w:val="0019762F"/>
    <w:rsid w:val="001A3DC3"/>
    <w:rsid w:val="001A5F5E"/>
    <w:rsid w:val="001A686D"/>
    <w:rsid w:val="001B0513"/>
    <w:rsid w:val="001B715F"/>
    <w:rsid w:val="001E0C6D"/>
    <w:rsid w:val="001E30E7"/>
    <w:rsid w:val="001F5E72"/>
    <w:rsid w:val="001F5EB1"/>
    <w:rsid w:val="0020115A"/>
    <w:rsid w:val="002011BD"/>
    <w:rsid w:val="0020360A"/>
    <w:rsid w:val="002040AA"/>
    <w:rsid w:val="00206781"/>
    <w:rsid w:val="002103C4"/>
    <w:rsid w:val="00211767"/>
    <w:rsid w:val="00211B82"/>
    <w:rsid w:val="00225F87"/>
    <w:rsid w:val="00234C77"/>
    <w:rsid w:val="00240B15"/>
    <w:rsid w:val="00242468"/>
    <w:rsid w:val="00250199"/>
    <w:rsid w:val="00250214"/>
    <w:rsid w:val="00251DEF"/>
    <w:rsid w:val="00253D49"/>
    <w:rsid w:val="0026012C"/>
    <w:rsid w:val="0026043A"/>
    <w:rsid w:val="00274044"/>
    <w:rsid w:val="00275274"/>
    <w:rsid w:val="00281517"/>
    <w:rsid w:val="00293A1D"/>
    <w:rsid w:val="002A0EA4"/>
    <w:rsid w:val="002A5919"/>
    <w:rsid w:val="002A6691"/>
    <w:rsid w:val="002B2CF2"/>
    <w:rsid w:val="002B49F3"/>
    <w:rsid w:val="002B7C68"/>
    <w:rsid w:val="002C2126"/>
    <w:rsid w:val="002C31DC"/>
    <w:rsid w:val="002D614D"/>
    <w:rsid w:val="002E2FFD"/>
    <w:rsid w:val="002F32A4"/>
    <w:rsid w:val="00300013"/>
    <w:rsid w:val="00301882"/>
    <w:rsid w:val="00302030"/>
    <w:rsid w:val="00310E2D"/>
    <w:rsid w:val="00315323"/>
    <w:rsid w:val="00320534"/>
    <w:rsid w:val="00322E46"/>
    <w:rsid w:val="003239FA"/>
    <w:rsid w:val="00326916"/>
    <w:rsid w:val="00327C43"/>
    <w:rsid w:val="00330DCA"/>
    <w:rsid w:val="00331949"/>
    <w:rsid w:val="0033370C"/>
    <w:rsid w:val="00343657"/>
    <w:rsid w:val="00345B1A"/>
    <w:rsid w:val="00352386"/>
    <w:rsid w:val="00352B60"/>
    <w:rsid w:val="0036557C"/>
    <w:rsid w:val="003655CE"/>
    <w:rsid w:val="0037183C"/>
    <w:rsid w:val="00381385"/>
    <w:rsid w:val="00393F18"/>
    <w:rsid w:val="003B6698"/>
    <w:rsid w:val="003B7434"/>
    <w:rsid w:val="003C362F"/>
    <w:rsid w:val="003C4FB2"/>
    <w:rsid w:val="003C51D3"/>
    <w:rsid w:val="003C7E88"/>
    <w:rsid w:val="003D1413"/>
    <w:rsid w:val="003D308C"/>
    <w:rsid w:val="003D4D07"/>
    <w:rsid w:val="003E02CC"/>
    <w:rsid w:val="003E0CDE"/>
    <w:rsid w:val="003F2880"/>
    <w:rsid w:val="0040102B"/>
    <w:rsid w:val="0040170C"/>
    <w:rsid w:val="00416A7B"/>
    <w:rsid w:val="004171A3"/>
    <w:rsid w:val="00444421"/>
    <w:rsid w:val="00454DB7"/>
    <w:rsid w:val="00462537"/>
    <w:rsid w:val="004629A1"/>
    <w:rsid w:val="00482C8D"/>
    <w:rsid w:val="00491DF7"/>
    <w:rsid w:val="004950A2"/>
    <w:rsid w:val="0049608D"/>
    <w:rsid w:val="004A08CF"/>
    <w:rsid w:val="004A4B66"/>
    <w:rsid w:val="004B248C"/>
    <w:rsid w:val="004B31A7"/>
    <w:rsid w:val="004B398B"/>
    <w:rsid w:val="004D0718"/>
    <w:rsid w:val="004D110B"/>
    <w:rsid w:val="004D2F3C"/>
    <w:rsid w:val="004D54B0"/>
    <w:rsid w:val="004E1153"/>
    <w:rsid w:val="004E2095"/>
    <w:rsid w:val="004E5060"/>
    <w:rsid w:val="004E58C0"/>
    <w:rsid w:val="004E649A"/>
    <w:rsid w:val="00500527"/>
    <w:rsid w:val="00507998"/>
    <w:rsid w:val="005142B2"/>
    <w:rsid w:val="00514A7B"/>
    <w:rsid w:val="00514B03"/>
    <w:rsid w:val="00526E24"/>
    <w:rsid w:val="00530BD2"/>
    <w:rsid w:val="0054599F"/>
    <w:rsid w:val="00547505"/>
    <w:rsid w:val="005533CC"/>
    <w:rsid w:val="00572D2D"/>
    <w:rsid w:val="005951AF"/>
    <w:rsid w:val="00597532"/>
    <w:rsid w:val="00597DD7"/>
    <w:rsid w:val="005A7064"/>
    <w:rsid w:val="005A76C6"/>
    <w:rsid w:val="005B5667"/>
    <w:rsid w:val="005B6AE4"/>
    <w:rsid w:val="005C251A"/>
    <w:rsid w:val="005C32CB"/>
    <w:rsid w:val="005D10E5"/>
    <w:rsid w:val="005D1F4A"/>
    <w:rsid w:val="005D4FB5"/>
    <w:rsid w:val="005D5B5A"/>
    <w:rsid w:val="005E3EAD"/>
    <w:rsid w:val="005E52DC"/>
    <w:rsid w:val="005E6BC3"/>
    <w:rsid w:val="005F5091"/>
    <w:rsid w:val="005F6847"/>
    <w:rsid w:val="0060197A"/>
    <w:rsid w:val="00605057"/>
    <w:rsid w:val="0061142E"/>
    <w:rsid w:val="00617380"/>
    <w:rsid w:val="00625939"/>
    <w:rsid w:val="00630816"/>
    <w:rsid w:val="00640E37"/>
    <w:rsid w:val="00642E35"/>
    <w:rsid w:val="00650AD1"/>
    <w:rsid w:val="006530A0"/>
    <w:rsid w:val="00662D69"/>
    <w:rsid w:val="00665206"/>
    <w:rsid w:val="00685259"/>
    <w:rsid w:val="00693CEA"/>
    <w:rsid w:val="006B06C4"/>
    <w:rsid w:val="006D4CFE"/>
    <w:rsid w:val="006D5EDD"/>
    <w:rsid w:val="006D6393"/>
    <w:rsid w:val="006D6621"/>
    <w:rsid w:val="006D7947"/>
    <w:rsid w:val="006E487D"/>
    <w:rsid w:val="006E7A35"/>
    <w:rsid w:val="006F3248"/>
    <w:rsid w:val="006F5AFB"/>
    <w:rsid w:val="006F6D28"/>
    <w:rsid w:val="00701BF7"/>
    <w:rsid w:val="007038E6"/>
    <w:rsid w:val="00705BBB"/>
    <w:rsid w:val="00706ABB"/>
    <w:rsid w:val="0070744C"/>
    <w:rsid w:val="00712C37"/>
    <w:rsid w:val="0074479D"/>
    <w:rsid w:val="0076431D"/>
    <w:rsid w:val="007752E1"/>
    <w:rsid w:val="00791578"/>
    <w:rsid w:val="0079517F"/>
    <w:rsid w:val="00796FA7"/>
    <w:rsid w:val="007B409B"/>
    <w:rsid w:val="007B7FD1"/>
    <w:rsid w:val="007C468B"/>
    <w:rsid w:val="007C5003"/>
    <w:rsid w:val="007C7002"/>
    <w:rsid w:val="007C7537"/>
    <w:rsid w:val="007E1570"/>
    <w:rsid w:val="007E1A22"/>
    <w:rsid w:val="00801918"/>
    <w:rsid w:val="00802B58"/>
    <w:rsid w:val="00811829"/>
    <w:rsid w:val="00816707"/>
    <w:rsid w:val="008211E3"/>
    <w:rsid w:val="00827137"/>
    <w:rsid w:val="008316F5"/>
    <w:rsid w:val="00832CC2"/>
    <w:rsid w:val="008366EB"/>
    <w:rsid w:val="00841369"/>
    <w:rsid w:val="0086003A"/>
    <w:rsid w:val="008607F6"/>
    <w:rsid w:val="00870A9C"/>
    <w:rsid w:val="008711C3"/>
    <w:rsid w:val="00875A06"/>
    <w:rsid w:val="0087641F"/>
    <w:rsid w:val="00876A81"/>
    <w:rsid w:val="0088073E"/>
    <w:rsid w:val="00893ED9"/>
    <w:rsid w:val="0089779F"/>
    <w:rsid w:val="008A130B"/>
    <w:rsid w:val="008A3E89"/>
    <w:rsid w:val="008B0872"/>
    <w:rsid w:val="008B2B9A"/>
    <w:rsid w:val="008B6394"/>
    <w:rsid w:val="008C0647"/>
    <w:rsid w:val="008E5F4D"/>
    <w:rsid w:val="008F0B5A"/>
    <w:rsid w:val="00900634"/>
    <w:rsid w:val="00907A7D"/>
    <w:rsid w:val="009123D2"/>
    <w:rsid w:val="00912455"/>
    <w:rsid w:val="009244AE"/>
    <w:rsid w:val="00924DF9"/>
    <w:rsid w:val="00927B0E"/>
    <w:rsid w:val="00933468"/>
    <w:rsid w:val="00946550"/>
    <w:rsid w:val="0094724E"/>
    <w:rsid w:val="00950F3B"/>
    <w:rsid w:val="009522E9"/>
    <w:rsid w:val="00961318"/>
    <w:rsid w:val="0097177E"/>
    <w:rsid w:val="00987C3C"/>
    <w:rsid w:val="009A6BA9"/>
    <w:rsid w:val="009A7994"/>
    <w:rsid w:val="009B21B1"/>
    <w:rsid w:val="009B486C"/>
    <w:rsid w:val="009B50DB"/>
    <w:rsid w:val="009B617A"/>
    <w:rsid w:val="009C0B54"/>
    <w:rsid w:val="009D388D"/>
    <w:rsid w:val="009D499B"/>
    <w:rsid w:val="009D6F65"/>
    <w:rsid w:val="009E5213"/>
    <w:rsid w:val="00A022CE"/>
    <w:rsid w:val="00A078D4"/>
    <w:rsid w:val="00A15062"/>
    <w:rsid w:val="00A15456"/>
    <w:rsid w:val="00A2005A"/>
    <w:rsid w:val="00A225C0"/>
    <w:rsid w:val="00A30AE5"/>
    <w:rsid w:val="00A33AA4"/>
    <w:rsid w:val="00A42C80"/>
    <w:rsid w:val="00A44255"/>
    <w:rsid w:val="00A52058"/>
    <w:rsid w:val="00A56398"/>
    <w:rsid w:val="00A571D5"/>
    <w:rsid w:val="00A579A5"/>
    <w:rsid w:val="00A659C2"/>
    <w:rsid w:val="00A66273"/>
    <w:rsid w:val="00A71855"/>
    <w:rsid w:val="00A877EE"/>
    <w:rsid w:val="00A90FA2"/>
    <w:rsid w:val="00A91352"/>
    <w:rsid w:val="00A91FDB"/>
    <w:rsid w:val="00AA054E"/>
    <w:rsid w:val="00AA5712"/>
    <w:rsid w:val="00AB2D5F"/>
    <w:rsid w:val="00AB36AE"/>
    <w:rsid w:val="00AC12CF"/>
    <w:rsid w:val="00AC1B86"/>
    <w:rsid w:val="00AD0573"/>
    <w:rsid w:val="00AD502F"/>
    <w:rsid w:val="00AD78A7"/>
    <w:rsid w:val="00AE22E8"/>
    <w:rsid w:val="00AE607C"/>
    <w:rsid w:val="00AF0CA4"/>
    <w:rsid w:val="00AF236A"/>
    <w:rsid w:val="00AF7769"/>
    <w:rsid w:val="00AF7E54"/>
    <w:rsid w:val="00B04B22"/>
    <w:rsid w:val="00B14588"/>
    <w:rsid w:val="00B20F74"/>
    <w:rsid w:val="00B21388"/>
    <w:rsid w:val="00B21FD8"/>
    <w:rsid w:val="00B23A85"/>
    <w:rsid w:val="00B30A40"/>
    <w:rsid w:val="00B41FB2"/>
    <w:rsid w:val="00B42F50"/>
    <w:rsid w:val="00B52033"/>
    <w:rsid w:val="00B548A2"/>
    <w:rsid w:val="00B96929"/>
    <w:rsid w:val="00B96B89"/>
    <w:rsid w:val="00BC26B8"/>
    <w:rsid w:val="00BC6364"/>
    <w:rsid w:val="00BD32D3"/>
    <w:rsid w:val="00BD647E"/>
    <w:rsid w:val="00BE2E80"/>
    <w:rsid w:val="00BF2AA0"/>
    <w:rsid w:val="00BF4E76"/>
    <w:rsid w:val="00BF6711"/>
    <w:rsid w:val="00C03F13"/>
    <w:rsid w:val="00C07328"/>
    <w:rsid w:val="00C11AF2"/>
    <w:rsid w:val="00C12C1A"/>
    <w:rsid w:val="00C22FA6"/>
    <w:rsid w:val="00C26425"/>
    <w:rsid w:val="00C30886"/>
    <w:rsid w:val="00C41BDB"/>
    <w:rsid w:val="00C44436"/>
    <w:rsid w:val="00C506AA"/>
    <w:rsid w:val="00C52828"/>
    <w:rsid w:val="00C72F0D"/>
    <w:rsid w:val="00C7427B"/>
    <w:rsid w:val="00C747E3"/>
    <w:rsid w:val="00C80F64"/>
    <w:rsid w:val="00C83F62"/>
    <w:rsid w:val="00C8563A"/>
    <w:rsid w:val="00C873BE"/>
    <w:rsid w:val="00C91945"/>
    <w:rsid w:val="00C9327E"/>
    <w:rsid w:val="00CA47A9"/>
    <w:rsid w:val="00CA70A8"/>
    <w:rsid w:val="00CB17EA"/>
    <w:rsid w:val="00CB18FA"/>
    <w:rsid w:val="00CB1ECD"/>
    <w:rsid w:val="00CB3AAF"/>
    <w:rsid w:val="00CB595A"/>
    <w:rsid w:val="00CB6370"/>
    <w:rsid w:val="00CC2DEA"/>
    <w:rsid w:val="00CC34A7"/>
    <w:rsid w:val="00CC456A"/>
    <w:rsid w:val="00CD3869"/>
    <w:rsid w:val="00CE5E8D"/>
    <w:rsid w:val="00CE6902"/>
    <w:rsid w:val="00CE7E27"/>
    <w:rsid w:val="00D02ED0"/>
    <w:rsid w:val="00D03C12"/>
    <w:rsid w:val="00D1418D"/>
    <w:rsid w:val="00D15BEF"/>
    <w:rsid w:val="00D20338"/>
    <w:rsid w:val="00D2611D"/>
    <w:rsid w:val="00D27D7F"/>
    <w:rsid w:val="00D31A68"/>
    <w:rsid w:val="00D329F7"/>
    <w:rsid w:val="00D403B6"/>
    <w:rsid w:val="00D405AC"/>
    <w:rsid w:val="00D42BDA"/>
    <w:rsid w:val="00D51F72"/>
    <w:rsid w:val="00D714FE"/>
    <w:rsid w:val="00D760B4"/>
    <w:rsid w:val="00D805A0"/>
    <w:rsid w:val="00D83623"/>
    <w:rsid w:val="00D8785D"/>
    <w:rsid w:val="00D9061D"/>
    <w:rsid w:val="00DA1E2E"/>
    <w:rsid w:val="00DA2C01"/>
    <w:rsid w:val="00DA5BB0"/>
    <w:rsid w:val="00DA5E5D"/>
    <w:rsid w:val="00DB2DC6"/>
    <w:rsid w:val="00DC0C1A"/>
    <w:rsid w:val="00DC7DF8"/>
    <w:rsid w:val="00DD6FA8"/>
    <w:rsid w:val="00DF3C26"/>
    <w:rsid w:val="00E035B3"/>
    <w:rsid w:val="00E12EEF"/>
    <w:rsid w:val="00E13F52"/>
    <w:rsid w:val="00E272A5"/>
    <w:rsid w:val="00E27E09"/>
    <w:rsid w:val="00E32B6D"/>
    <w:rsid w:val="00E37589"/>
    <w:rsid w:val="00E46FF6"/>
    <w:rsid w:val="00E5024E"/>
    <w:rsid w:val="00E515B7"/>
    <w:rsid w:val="00E61275"/>
    <w:rsid w:val="00E61441"/>
    <w:rsid w:val="00E6164F"/>
    <w:rsid w:val="00E658FD"/>
    <w:rsid w:val="00E677E4"/>
    <w:rsid w:val="00E73451"/>
    <w:rsid w:val="00E81DA7"/>
    <w:rsid w:val="00E8478C"/>
    <w:rsid w:val="00E90E36"/>
    <w:rsid w:val="00E923E9"/>
    <w:rsid w:val="00E925ED"/>
    <w:rsid w:val="00E94CDB"/>
    <w:rsid w:val="00E97115"/>
    <w:rsid w:val="00EB0CF9"/>
    <w:rsid w:val="00EB5D94"/>
    <w:rsid w:val="00EB61FF"/>
    <w:rsid w:val="00ED578B"/>
    <w:rsid w:val="00EE47ED"/>
    <w:rsid w:val="00EE4E18"/>
    <w:rsid w:val="00EF34CA"/>
    <w:rsid w:val="00EF48B5"/>
    <w:rsid w:val="00EF67CD"/>
    <w:rsid w:val="00F102E8"/>
    <w:rsid w:val="00F154EC"/>
    <w:rsid w:val="00F178C7"/>
    <w:rsid w:val="00F17C41"/>
    <w:rsid w:val="00F27E39"/>
    <w:rsid w:val="00F30DFB"/>
    <w:rsid w:val="00F37565"/>
    <w:rsid w:val="00F418EC"/>
    <w:rsid w:val="00F51FEF"/>
    <w:rsid w:val="00F53A95"/>
    <w:rsid w:val="00F57728"/>
    <w:rsid w:val="00F60C89"/>
    <w:rsid w:val="00F60D71"/>
    <w:rsid w:val="00F647A2"/>
    <w:rsid w:val="00F80632"/>
    <w:rsid w:val="00F82123"/>
    <w:rsid w:val="00F92609"/>
    <w:rsid w:val="00FA3869"/>
    <w:rsid w:val="00FA5D13"/>
    <w:rsid w:val="00FA68C4"/>
    <w:rsid w:val="00FC1A78"/>
    <w:rsid w:val="00FC63CA"/>
    <w:rsid w:val="00FD13F3"/>
    <w:rsid w:val="00FD7A8E"/>
    <w:rsid w:val="00FE35C9"/>
    <w:rsid w:val="00FE725F"/>
  </w:rsids>
  <m:mathPr>
    <m:mathFont m:val="Cambria Math"/>
    <m:brkBin m:val="before"/>
    <m:brkBinSub m:val="--"/>
    <m:smallFrac m:val="0"/>
    <m:dispDef/>
    <m:lMargin m:val="0"/>
    <m:rMargin m:val="0"/>
    <m:defJc m:val="centerGroup"/>
    <m:wrapIndent m:val="1440"/>
    <m:intLim m:val="subSup"/>
    <m:naryLim m:val="undOvr"/>
  </m:mathPr>
  <w:themeFontLang w:val="en-GB"/>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Calibri" w:hAnsi="Calibri"/>
        <w:lang w:bidi="ar-SA" w:eastAsia="en-GB" w:val="en-GB"/>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pPr>
      <w:spacing w:after="200" w:line="276" w:lineRule="auto"/>
    </w:pPr>
    <w:rPr>
      <w:sz w:val="22"/>
      <w:szCs w:val="22"/>
      <w:lang w:eastAsia="en-U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TableGrid" w:type="table">
    <w:name w:val="TableGrid"/>
    <w:rsid w:val="002B2CF2"/>
    <w:rPr>
      <w:rFonts w:asciiTheme="minorHAnsi" w:cstheme="minorBidi" w:eastAsiaTheme="minorEastAsia" w:hAnsiTheme="minorHAnsi"/>
      <w:sz w:val="22"/>
      <w:szCs w:val="22"/>
      <w:lang w:eastAsia="en-US" w:val="en-US"/>
    </w:rPr>
    <w:tblPr>
      <w:tblCellMar>
        <w:top w:type="dxa" w:w="0"/>
        <w:left w:type="dxa" w:w="0"/>
        <w:bottom w:type="dxa" w:w="0"/>
        <w:right w:type="dxa" w:w="0"/>
      </w:tblCellMar>
    </w:tblPr>
  </w:style>
  <w:style w:styleId="BalloonText" w:type="paragraph">
    <w:name w:val="Balloon Text"/>
    <w:basedOn w:val="Normal"/>
    <w:link w:val="BalloonTextChar"/>
    <w:uiPriority w:val="99"/>
    <w:semiHidden/>
    <w:unhideWhenUsed/>
    <w:rsid w:val="002B2CF2"/>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2B2CF2"/>
    <w:rPr>
      <w:rFonts w:ascii="Tahoma" w:cs="Tahoma" w:hAnsi="Tahoma"/>
      <w:sz w:val="16"/>
      <w:szCs w:val="16"/>
      <w:lang w:eastAsia="en-US"/>
    </w:rPr>
  </w:style>
  <w:style w:styleId="CommentReference" w:type="character">
    <w:name w:val="annotation reference"/>
    <w:basedOn w:val="DefaultParagraphFont"/>
    <w:uiPriority w:val="99"/>
    <w:semiHidden/>
    <w:unhideWhenUsed/>
    <w:rsid w:val="009E5213"/>
    <w:rPr>
      <w:sz w:val="16"/>
      <w:szCs w:val="16"/>
    </w:rPr>
  </w:style>
  <w:style w:styleId="ListParagraph" w:type="paragraph">
    <w:name w:val="List Paragraph"/>
    <w:basedOn w:val="Normal"/>
    <w:uiPriority w:val="34"/>
    <w:qFormat/>
    <w:rsid w:val="000C4B70"/>
    <w:pPr>
      <w:spacing w:after="160" w:line="259" w:lineRule="auto"/>
      <w:ind w:left="720"/>
      <w:contextualSpacing/>
    </w:pPr>
    <w:rPr>
      <w:rFonts w:cs="Calibri"/>
      <w:color w:val="000000"/>
      <w:lang w:val="en-US"/>
    </w:rPr>
  </w:style>
  <w:style w:styleId="Footer" w:type="paragraph">
    <w:name w:val="footer"/>
    <w:basedOn w:val="Normal"/>
    <w:link w:val="FooterChar"/>
    <w:uiPriority w:val="99"/>
    <w:unhideWhenUsed/>
    <w:rsid w:val="00B96929"/>
    <w:pPr>
      <w:tabs>
        <w:tab w:pos="4536" w:val="center"/>
        <w:tab w:pos="9072" w:val="right"/>
      </w:tabs>
      <w:spacing w:after="0" w:line="240" w:lineRule="auto"/>
    </w:pPr>
    <w:rPr>
      <w:rFonts w:cs="Calibri"/>
      <w:color w:val="000000"/>
      <w:lang w:val="en-US"/>
    </w:rPr>
  </w:style>
  <w:style w:customStyle="1" w:styleId="FooterChar" w:type="character">
    <w:name w:val="Footer Char"/>
    <w:basedOn w:val="DefaultParagraphFont"/>
    <w:link w:val="Footer"/>
    <w:uiPriority w:val="99"/>
    <w:rsid w:val="00B96929"/>
    <w:rPr>
      <w:rFonts w:cs="Calibri"/>
      <w:color w:val="000000"/>
      <w:sz w:val="22"/>
      <w:szCs w:val="22"/>
      <w:lang w:eastAsia="en-US" w:val="en-US"/>
    </w:rPr>
  </w:style>
  <w:style w:styleId="Header" w:type="paragraph">
    <w:name w:val="header"/>
    <w:basedOn w:val="Normal"/>
    <w:link w:val="HeaderChar"/>
    <w:uiPriority w:val="99"/>
    <w:unhideWhenUsed/>
    <w:rsid w:val="005E6BC3"/>
    <w:pPr>
      <w:tabs>
        <w:tab w:pos="4513" w:val="center"/>
        <w:tab w:pos="9026" w:val="right"/>
      </w:tabs>
      <w:spacing w:after="0" w:line="240" w:lineRule="auto"/>
    </w:pPr>
  </w:style>
  <w:style w:customStyle="1" w:styleId="HeaderChar" w:type="character">
    <w:name w:val="Header Char"/>
    <w:basedOn w:val="DefaultParagraphFont"/>
    <w:link w:val="Header"/>
    <w:uiPriority w:val="99"/>
    <w:rsid w:val="005E6BC3"/>
    <w:rPr>
      <w:sz w:val="22"/>
      <w:szCs w:val="22"/>
      <w:lang w:eastAsia="en-US"/>
    </w:rPr>
  </w:style>
  <w:style w:styleId="Hyperlink" w:type="character">
    <w:name w:val="Hyperlink"/>
    <w:basedOn w:val="DefaultParagraphFont"/>
    <w:uiPriority w:val="99"/>
    <w:unhideWhenUsed/>
    <w:rsid w:val="00597532"/>
    <w:rPr>
      <w:color w:themeColor="hyperlink" w:val="0000FF"/>
      <w:u w:val="single"/>
    </w:rPr>
  </w:style>
  <w:style w:styleId="TableGrid0" w:type="table">
    <w:name w:val="Table Grid"/>
    <w:basedOn w:val="TableNormal"/>
    <w:uiPriority w:val="59"/>
    <w:rsid w:val="00150FB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TMLPreformatted" w:type="paragraph">
    <w:name w:val="HTML Preformatted"/>
    <w:basedOn w:val="Normal"/>
    <w:link w:val="HTMLPreformattedChar"/>
    <w:uiPriority w:val="99"/>
    <w:unhideWhenUsed/>
    <w:rsid w:val="00F60C89"/>
    <w:pPr>
      <w:tabs>
        <w:tab w:pos="916" w:val="left"/>
        <w:tab w:pos="1832" w:val="left"/>
        <w:tab w:pos="2748" w:val="left"/>
        <w:tab w:pos="3664" w:val="left"/>
        <w:tab w:pos="4580" w:val="left"/>
        <w:tab w:pos="5496" w:val="left"/>
        <w:tab w:pos="6412" w:val="left"/>
        <w:tab w:pos="7328" w:val="left"/>
        <w:tab w:pos="8244" w:val="left"/>
        <w:tab w:pos="9160" w:val="left"/>
        <w:tab w:pos="10076" w:val="left"/>
        <w:tab w:pos="10992" w:val="left"/>
        <w:tab w:pos="11908" w:val="left"/>
        <w:tab w:pos="12824" w:val="left"/>
        <w:tab w:pos="13740" w:val="left"/>
        <w:tab w:pos="14656" w:val="left"/>
      </w:tabs>
      <w:spacing w:after="0" w:line="240" w:lineRule="auto"/>
    </w:pPr>
    <w:rPr>
      <w:rFonts w:ascii="Courier New" w:cs="Courier New" w:eastAsia="Times New Roman" w:hAnsi="Courier New"/>
      <w:sz w:val="20"/>
      <w:szCs w:val="20"/>
      <w:lang w:eastAsia="en-GB"/>
    </w:rPr>
  </w:style>
  <w:style w:customStyle="1" w:styleId="HTMLPreformattedChar" w:type="character">
    <w:name w:val="HTML Preformatted Char"/>
    <w:basedOn w:val="DefaultParagraphFont"/>
    <w:link w:val="HTMLPreformatted"/>
    <w:uiPriority w:val="99"/>
    <w:rsid w:val="00F60C89"/>
    <w:rPr>
      <w:rFonts w:ascii="Courier New" w:cs="Courier New" w:eastAsia="Times New Roman" w:hAnsi="Courier New"/>
    </w:rPr>
  </w:style>
  <w:style w:styleId="CommentText" w:type="paragraph">
    <w:name w:val="annotation text"/>
    <w:basedOn w:val="Normal"/>
    <w:link w:val="CommentTextChar"/>
    <w:uiPriority w:val="99"/>
    <w:semiHidden/>
    <w:unhideWhenUsed/>
    <w:rsid w:val="00462537"/>
    <w:pPr>
      <w:spacing w:line="240" w:lineRule="auto"/>
    </w:pPr>
    <w:rPr>
      <w:rFonts w:asciiTheme="minorHAnsi" w:cstheme="minorBidi" w:eastAsiaTheme="minorHAnsi" w:hAnsiTheme="minorHAnsi"/>
      <w:sz w:val="20"/>
      <w:szCs w:val="20"/>
    </w:rPr>
  </w:style>
  <w:style w:customStyle="1" w:styleId="CommentTextChar" w:type="character">
    <w:name w:val="Comment Text Char"/>
    <w:basedOn w:val="DefaultParagraphFont"/>
    <w:link w:val="CommentText"/>
    <w:uiPriority w:val="99"/>
    <w:semiHidden/>
    <w:rsid w:val="00462537"/>
    <w:rPr>
      <w:rFonts w:asciiTheme="minorHAnsi" w:cstheme="minorBidi" w:eastAsiaTheme="minorHAnsi" w:hAnsiTheme="minorHAnsi"/>
      <w:lang w:eastAsia="en-US"/>
    </w:rPr>
  </w:style>
  <w:style w:styleId="XDocReport_Heading_1" w:type="paragraph">
    <w:name w:val="heading 1"/>
    <w:uiPriority w:val="9"/>
    <w:rsid w:val="00285B63"/>
    <w:pPr>
      <w:keepNext/>
      <w:keepLines/>
      <w:spacing w:after="0" w:before="480"/>
      <w:outlineLvl w:val="0"/>
    </w:pPr>
    <w:rPr>
      <w:rFonts w:asciiTheme="majorHAnsi" w:cstheme="majorBidi" w:eastAsiaTheme="majorEastAsia" w:hAnsiTheme="majorHAnsi"/>
      <w:b/>
      <w:bCs/>
      <w:color w:themeColor="accent1" w:themeShade="BF" w:val="365F91"/>
      <w:sz w:val="28"/>
      <w:szCs w:val="28"/>
    </w:rPr>
  </w:style>
  <w:style w:styleId="XDocReport_Heading_2" w:type="paragraph">
    <w:name w:val="heading 2"/>
    <!-- <w:basedOn w:val="Normal" /> <w:next w:val="Normal" /> <w:link w:val="Titre2Car" /> -->
    <w:uiPriority w:val="9"/>
    <w:unhideWhenUsed/>
    <w:rsid w:val="00285B63"/>
    <w:pPr>
      <w:keepNext/>
      <w:keepLines/>
      <w:spacing w:after="0" w:before="200"/>
      <w:outlineLvl w:val="1"/>
    </w:pPr>
    <w:rPr>
      <w:rFonts w:asciiTheme="majorHAnsi" w:cstheme="majorBidi" w:eastAsiaTheme="majorEastAsia" w:hAnsiTheme="majorHAnsi"/>
      <w:b/>
      <w:bCs/>
      <w:color w:themeColor="accent1" w:val="4F81BD"/>
      <w:sz w:val="26"/>
      <w:szCs w:val="26"/>
    </w:rPr>
  </w:style>
  <w:style w:styleId="XDocReport_Heading_3" w:type="paragraph">
    <w:name w:val="heading 3"/>
    <!-- <w:basedOn w:val="Normal" /> <w:next w:val="Normal" /> <w:link w:val="Titre3Car"   /> -->
    <w:uiPriority w:val="9"/>
    <w:unhideWhenUsed/>
    <w:rsid w:val="00285B63"/>
    <w:pPr>
      <w:keepNext/>
      <w:keepLines/>
      <w:spacing w:after="0" w:before="200"/>
      <w:outlineLvl w:val="2"/>
    </w:pPr>
    <w:rPr>
      <w:rFonts w:asciiTheme="majorHAnsi" w:cstheme="majorBidi" w:eastAsiaTheme="majorEastAsia" w:hAnsiTheme="majorHAnsi"/>
      <w:b/>
      <w:bCs/>
      <w:color w:themeColor="accent1" w:val="4F81BD"/>
    </w:rPr>
  </w:style>
  <w:style w:styleId="XDocReport_Heading_4" w:type="paragraph">
    <w:name w:val="heading 4"/>
    <!-- <w:basedOn w:val="Normal" /> <w:next w:val="Normal" /> <w:link w:val="Titre4Car" /> -->
    <w:uiPriority w:val="9"/>
    <w:unhideWhenUsed/>
    <w:qFormat/>
    <w:rsid w:val="005F433E"/>
    <w:pPr>
      <w:keepNext/>
      <w:keepLines/>
      <w:spacing w:after="0" w:before="200"/>
      <w:outlineLvl w:val="3"/>
    </w:pPr>
    <w:rPr>
      <w:rFonts w:asciiTheme="majorHAnsi" w:cstheme="majorBidi" w:eastAsiaTheme="majorEastAsia" w:hAnsiTheme="majorHAnsi"/>
      <w:b/>
      <w:bCs/>
      <w:i/>
      <w:iCs/>
      <w:color w:themeColor="accent1" w:val="4F81BD"/>
    </w:rPr>
  </w:style>
  <w:style w:styleId="XDocReport_Heading_5" w:type="paragraph">
    <w:name w:val="heading 5"/>
    <!-- <w:basedOn w:val="Normal" /> <w:next w:val="Normal" /> <w:link w:val="Titre5Car"   /> -->
    <w:uiPriority w:val="9"/>
    <w:unhideWhenUsed/>
    <w:qFormat/>
    <w:rsid w:val="005F433E"/>
    <w:pPr>
      <w:keepNext/>
      <w:keepLines/>
      <w:spacing w:after="0" w:before="200"/>
      <w:outlineLvl w:val="4"/>
    </w:pPr>
    <w:rPr>
      <w:rFonts w:asciiTheme="majorHAnsi" w:cstheme="majorBidi" w:eastAsiaTheme="majorEastAsia" w:hAnsiTheme="majorHAnsi"/>
      <w:color w:themeColor="accent1" w:themeShade="7F" w:val="243F60"/>
    </w:rPr>
  </w:style>
  <w:style w:styleId="XDocReport_Heading_6" w:type="paragraph">
    <w:name w:val="heading 6"/>
    <!-- <w:basedOn w:val="Normal" /> <w:next w:val="Normal" /> <w:link w:val="Titre6Car" /> -->
    <w:uiPriority w:val="9"/>
    <w:unhideWhenUsed/>
    <w:qFormat/>
    <w:rsid w:val="005F433E"/>
    <w:pPr>
      <w:keepNext/>
      <w:keepLines/>
      <w:spacing w:after="0" w:before="200"/>
      <w:outlineLvl w:val="5"/>
    </w:pPr>
    <w:rPr>
      <w:rFonts w:asciiTheme="majorHAnsi" w:cstheme="majorBidi" w:eastAsiaTheme="majorEastAsia" w:hAnsiTheme="majorHAnsi"/>
      <w:i/>
      <w:iCs/>
      <w:color w:themeColor="accent1" w:themeShade="7F"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159595">
      <w:bodyDiv w:val="1"/>
      <w:marLeft w:val="0"/>
      <w:marRight w:val="0"/>
      <w:marTop w:val="0"/>
      <w:marBottom w:val="0"/>
      <w:divBdr>
        <w:top w:val="none" w:sz="0" w:space="0" w:color="auto"/>
        <w:left w:val="none" w:sz="0" w:space="0" w:color="auto"/>
        <w:bottom w:val="none" w:sz="0" w:space="0" w:color="auto"/>
        <w:right w:val="none" w:sz="0" w:space="0" w:color="auto"/>
      </w:divBdr>
    </w:div>
    <w:div w:id="375928939">
      <w:bodyDiv w:val="1"/>
      <w:marLeft w:val="0"/>
      <w:marRight w:val="0"/>
      <w:marTop w:val="0"/>
      <w:marBottom w:val="0"/>
      <w:divBdr>
        <w:top w:val="none" w:sz="0" w:space="0" w:color="auto"/>
        <w:left w:val="none" w:sz="0" w:space="0" w:color="auto"/>
        <w:bottom w:val="none" w:sz="0" w:space="0" w:color="auto"/>
        <w:right w:val="none" w:sz="0" w:space="0" w:color="auto"/>
      </w:divBdr>
    </w:div>
    <w:div w:id="1194727163">
      <w:bodyDiv w:val="1"/>
      <w:marLeft w:val="0"/>
      <w:marRight w:val="0"/>
      <w:marTop w:val="0"/>
      <w:marBottom w:val="0"/>
      <w:divBdr>
        <w:top w:val="none" w:sz="0" w:space="0" w:color="auto"/>
        <w:left w:val="none" w:sz="0" w:space="0" w:color="auto"/>
        <w:bottom w:val="none" w:sz="0" w:space="0" w:color="auto"/>
        <w:right w:val="none" w:sz="0" w:space="0" w:color="auto"/>
      </w:divBdr>
    </w:div>
    <w:div w:id="1843010255">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88405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gif"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CFBB-EF4E-4D47-8958-E944E7DA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1739</Words>
  <Characters>13187</Characters>
  <Application>Microsoft Office Word</Application>
  <DocSecurity>0</DocSecurity>
  <Lines>599</Lines>
  <Paragraphs>298</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2016-01-05T16:51:00Z</dcterms:created>
  <dcterms:modified xsi:type="dcterms:W3CDTF">2021-04-19T12:16:00Z</dcterms:modified>
  <cp:revision>1</cp:revision>
</cp:coreProperties>
</file>