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729" w:rsidRPr="00010261" w:rsidRDefault="001C6729" w:rsidP="001C6729">
      <w:pPr>
        <w:pStyle w:val="StyleStyleSectionslistNotBoldItalic12ptBold"/>
        <w:spacing w:after="0"/>
        <w:ind w:left="567"/>
        <w:rPr>
          <w:rFonts w:ascii="Verdana" w:hAnsi="Verdana" w:cs="Arial"/>
          <w:b w:val="0"/>
          <w:sz w:val="20"/>
          <w:szCs w:val="20"/>
        </w:rPr>
      </w:pPr>
    </w:p>
    <w:p w:rsidR="003C0AE1" w:rsidRPr="00010261" w:rsidRDefault="003C0AE1" w:rsidP="001C6729">
      <w:pPr>
        <w:pStyle w:val="StyleStyleSectionslistNotBoldItalic12ptBold"/>
        <w:spacing w:after="0"/>
        <w:ind w:left="567"/>
        <w:rPr>
          <w:rFonts w:asciiTheme="minorHAnsi" w:hAnsiTheme="minorHAnsi" w:cstheme="minorHAnsi"/>
          <w:b w:val="0"/>
          <w:sz w:val="28"/>
          <w:szCs w:val="28"/>
        </w:rPr>
      </w:pPr>
      <w:r w:rsidRPr="00010261">
        <w:rPr>
          <w:rFonts w:asciiTheme="minorHAnsi" w:hAnsiTheme="minorHAnsi" w:cstheme="minorHAnsi"/>
          <w:sz w:val="28"/>
          <w:szCs w:val="28"/>
        </w:rPr>
        <w:t xml:space="preserve">Risk Assessment Grid </w:t>
      </w:r>
    </w:p>
    <w:p w:rsidR="003C0AE1" w:rsidRPr="00010261" w:rsidRDefault="003C0AE1" w:rsidP="001C6729">
      <w:pPr>
        <w:pStyle w:val="StyleStyleSectionslistNotBoldItalic12ptBold"/>
        <w:spacing w:after="0"/>
        <w:ind w:left="567"/>
        <w:rPr>
          <w:rFonts w:asciiTheme="minorHAnsi" w:hAnsiTheme="minorHAnsi" w:cstheme="minorHAnsi"/>
          <w:b w:val="0"/>
          <w:sz w:val="20"/>
          <w:szCs w:val="20"/>
        </w:rPr>
      </w:pPr>
    </w:p>
    <w:tbl>
      <w:tblPr>
        <w:tblpPr w:leftFromText="180" w:rightFromText="180" w:bottomFromText="115" w:vertAnchor="text"/>
        <w:tblW w:w="148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833"/>
        <w:gridCol w:w="3260"/>
        <w:gridCol w:w="1276"/>
        <w:gridCol w:w="1276"/>
        <w:gridCol w:w="1276"/>
        <w:gridCol w:w="5947"/>
      </w:tblGrid>
      <w:tr w:rsidR="003C0AE1" w:rsidRPr="00010261" w:rsidTr="006C146C">
        <w:tc>
          <w:tcPr>
            <w:tcW w:w="1833" w:type="dxa"/>
            <w:shd w:val="clear" w:color="auto" w:fill="auto"/>
            <w:tcMar>
              <w:top w:w="0" w:type="dxa"/>
              <w:left w:w="108" w:type="dxa"/>
              <w:bottom w:w="0" w:type="dxa"/>
              <w:right w:w="108" w:type="dxa"/>
            </w:tcMar>
            <w:hideMark/>
          </w:tcPr>
          <w:p w:rsidR="003C0AE1" w:rsidRPr="00772EFD" w:rsidRDefault="003C0AE1" w:rsidP="00DF142E">
            <w:pPr>
              <w:ind w:left="142"/>
              <w:jc w:val="center"/>
              <w:rPr>
                <w:rFonts w:cstheme="minorHAnsi"/>
                <w:b/>
                <w:sz w:val="24"/>
                <w:szCs w:val="24"/>
                <w:lang w:val="en-GB"/>
              </w:rPr>
            </w:pPr>
            <w:r w:rsidRPr="00772EFD">
              <w:rPr>
                <w:rFonts w:cstheme="minorHAnsi"/>
                <w:b/>
                <w:sz w:val="24"/>
                <w:szCs w:val="24"/>
                <w:lang w:val="en-GB"/>
              </w:rPr>
              <w:t>Activity N°</w:t>
            </w:r>
            <w:r w:rsidR="002056A6" w:rsidRPr="00772EFD">
              <w:rPr>
                <w:rFonts w:cstheme="minorHAnsi"/>
                <w:b/>
                <w:sz w:val="24"/>
                <w:szCs w:val="24"/>
                <w:lang w:val="en-GB"/>
              </w:rPr>
              <w:t xml:space="preserve"> / Risk category</w:t>
            </w:r>
          </w:p>
        </w:tc>
        <w:tc>
          <w:tcPr>
            <w:tcW w:w="3260" w:type="dxa"/>
            <w:shd w:val="clear" w:color="auto" w:fill="auto"/>
            <w:tcMar>
              <w:top w:w="0" w:type="dxa"/>
              <w:left w:w="108" w:type="dxa"/>
              <w:bottom w:w="0" w:type="dxa"/>
              <w:right w:w="108" w:type="dxa"/>
            </w:tcMar>
            <w:hideMark/>
          </w:tcPr>
          <w:p w:rsidR="003C0AE1" w:rsidRPr="00772EFD" w:rsidRDefault="003C0AE1" w:rsidP="00DF142E">
            <w:pPr>
              <w:jc w:val="center"/>
              <w:rPr>
                <w:rFonts w:cstheme="minorHAnsi"/>
                <w:b/>
                <w:sz w:val="24"/>
                <w:szCs w:val="24"/>
                <w:lang w:val="en-GB"/>
              </w:rPr>
            </w:pPr>
            <w:r w:rsidRPr="00772EFD">
              <w:rPr>
                <w:rFonts w:cstheme="minorHAnsi"/>
                <w:b/>
                <w:sz w:val="24"/>
                <w:szCs w:val="24"/>
                <w:lang w:val="en-GB"/>
              </w:rPr>
              <w:t>Risk</w:t>
            </w:r>
          </w:p>
        </w:tc>
        <w:tc>
          <w:tcPr>
            <w:tcW w:w="1276" w:type="dxa"/>
            <w:shd w:val="clear" w:color="auto" w:fill="auto"/>
            <w:tcMar>
              <w:top w:w="0" w:type="dxa"/>
              <w:left w:w="108" w:type="dxa"/>
              <w:bottom w:w="0" w:type="dxa"/>
              <w:right w:w="108" w:type="dxa"/>
            </w:tcMar>
            <w:hideMark/>
          </w:tcPr>
          <w:p w:rsidR="003C0AE1" w:rsidRPr="00772EFD" w:rsidRDefault="003C0AE1" w:rsidP="00DF142E">
            <w:pPr>
              <w:jc w:val="center"/>
              <w:rPr>
                <w:rFonts w:cstheme="minorHAnsi"/>
                <w:b/>
                <w:sz w:val="24"/>
                <w:szCs w:val="24"/>
                <w:lang w:val="en-GB"/>
              </w:rPr>
            </w:pPr>
            <w:r w:rsidRPr="00772EFD">
              <w:rPr>
                <w:rFonts w:cstheme="minorHAnsi"/>
                <w:b/>
                <w:sz w:val="24"/>
                <w:szCs w:val="24"/>
                <w:lang w:val="en-GB"/>
              </w:rPr>
              <w:t>Impact</w:t>
            </w:r>
          </w:p>
          <w:p w:rsidR="003C0AE1" w:rsidRPr="00772EFD" w:rsidRDefault="003C0AE1" w:rsidP="00DF142E">
            <w:pPr>
              <w:jc w:val="center"/>
              <w:rPr>
                <w:rFonts w:cstheme="minorHAnsi"/>
                <w:b/>
                <w:sz w:val="24"/>
                <w:szCs w:val="24"/>
                <w:lang w:val="en-GB"/>
              </w:rPr>
            </w:pPr>
            <w:r w:rsidRPr="00772EFD">
              <w:rPr>
                <w:rFonts w:cstheme="minorHAnsi"/>
                <w:b/>
                <w:sz w:val="24"/>
                <w:szCs w:val="24"/>
                <w:lang w:val="en-GB"/>
              </w:rPr>
              <w:t>(High/Low)</w:t>
            </w:r>
          </w:p>
        </w:tc>
        <w:tc>
          <w:tcPr>
            <w:tcW w:w="1276" w:type="dxa"/>
            <w:shd w:val="clear" w:color="auto" w:fill="auto"/>
            <w:tcMar>
              <w:top w:w="0" w:type="dxa"/>
              <w:left w:w="108" w:type="dxa"/>
              <w:bottom w:w="0" w:type="dxa"/>
              <w:right w:w="108" w:type="dxa"/>
            </w:tcMar>
            <w:hideMark/>
          </w:tcPr>
          <w:p w:rsidR="003C0AE1" w:rsidRPr="00772EFD" w:rsidRDefault="003C0AE1" w:rsidP="00DF142E">
            <w:pPr>
              <w:jc w:val="center"/>
              <w:rPr>
                <w:rFonts w:cstheme="minorHAnsi"/>
                <w:b/>
                <w:sz w:val="24"/>
                <w:szCs w:val="24"/>
                <w:lang w:val="en-GB"/>
              </w:rPr>
            </w:pPr>
            <w:r w:rsidRPr="00772EFD">
              <w:rPr>
                <w:rFonts w:cstheme="minorHAnsi"/>
                <w:b/>
                <w:sz w:val="24"/>
                <w:szCs w:val="24"/>
                <w:lang w:val="en-GB"/>
              </w:rPr>
              <w:t>Likelihood</w:t>
            </w:r>
          </w:p>
          <w:p w:rsidR="003C0AE1" w:rsidRPr="00772EFD" w:rsidRDefault="003C0AE1" w:rsidP="00DF142E">
            <w:pPr>
              <w:jc w:val="center"/>
              <w:rPr>
                <w:rFonts w:cstheme="minorHAnsi"/>
                <w:b/>
                <w:sz w:val="24"/>
                <w:szCs w:val="24"/>
                <w:lang w:val="en-GB"/>
              </w:rPr>
            </w:pPr>
            <w:r w:rsidRPr="00772EFD">
              <w:rPr>
                <w:rFonts w:cstheme="minorHAnsi"/>
                <w:b/>
                <w:sz w:val="24"/>
                <w:szCs w:val="24"/>
                <w:lang w:val="en-GB"/>
              </w:rPr>
              <w:t>(High/Low)</w:t>
            </w:r>
          </w:p>
        </w:tc>
        <w:tc>
          <w:tcPr>
            <w:tcW w:w="1276" w:type="dxa"/>
            <w:shd w:val="clear" w:color="auto" w:fill="auto"/>
            <w:tcMar>
              <w:top w:w="0" w:type="dxa"/>
              <w:left w:w="108" w:type="dxa"/>
              <w:bottom w:w="0" w:type="dxa"/>
              <w:right w:w="108" w:type="dxa"/>
            </w:tcMar>
            <w:hideMark/>
          </w:tcPr>
          <w:p w:rsidR="003C0AE1" w:rsidRPr="00772EFD" w:rsidRDefault="003C0AE1" w:rsidP="00DF142E">
            <w:pPr>
              <w:jc w:val="center"/>
              <w:rPr>
                <w:rFonts w:cstheme="minorHAnsi"/>
                <w:b/>
                <w:sz w:val="24"/>
                <w:szCs w:val="24"/>
                <w:lang w:val="en-GB"/>
              </w:rPr>
            </w:pPr>
            <w:r w:rsidRPr="00772EFD">
              <w:rPr>
                <w:rFonts w:cstheme="minorHAnsi"/>
                <w:b/>
                <w:sz w:val="24"/>
                <w:szCs w:val="24"/>
                <w:lang w:val="en-GB"/>
              </w:rPr>
              <w:t>Control</w:t>
            </w:r>
          </w:p>
          <w:p w:rsidR="003C0AE1" w:rsidRPr="00772EFD" w:rsidRDefault="003C0AE1" w:rsidP="00DF142E">
            <w:pPr>
              <w:jc w:val="center"/>
              <w:rPr>
                <w:rFonts w:cstheme="minorHAnsi"/>
                <w:b/>
                <w:sz w:val="24"/>
                <w:szCs w:val="24"/>
                <w:lang w:val="en-GB"/>
              </w:rPr>
            </w:pPr>
            <w:r w:rsidRPr="00772EFD">
              <w:rPr>
                <w:rFonts w:cstheme="minorHAnsi"/>
                <w:b/>
                <w:sz w:val="24"/>
                <w:szCs w:val="24"/>
                <w:lang w:val="en-GB"/>
              </w:rPr>
              <w:t>(Under/Beyond)</w:t>
            </w:r>
          </w:p>
        </w:tc>
        <w:tc>
          <w:tcPr>
            <w:tcW w:w="5947" w:type="dxa"/>
            <w:shd w:val="clear" w:color="auto" w:fill="auto"/>
            <w:tcMar>
              <w:top w:w="0" w:type="dxa"/>
              <w:left w:w="108" w:type="dxa"/>
              <w:bottom w:w="0" w:type="dxa"/>
              <w:right w:w="108" w:type="dxa"/>
            </w:tcMar>
            <w:hideMark/>
          </w:tcPr>
          <w:p w:rsidR="003C0AE1" w:rsidRPr="00772EFD" w:rsidRDefault="003C0AE1" w:rsidP="00DF142E">
            <w:pPr>
              <w:jc w:val="center"/>
              <w:rPr>
                <w:rFonts w:cstheme="minorHAnsi"/>
                <w:b/>
                <w:sz w:val="24"/>
                <w:szCs w:val="24"/>
                <w:lang w:val="en-GB"/>
              </w:rPr>
            </w:pPr>
            <w:r w:rsidRPr="00772EFD">
              <w:rPr>
                <w:rFonts w:cstheme="minorHAnsi"/>
                <w:b/>
                <w:sz w:val="24"/>
                <w:szCs w:val="24"/>
                <w:lang w:val="en-GB"/>
              </w:rPr>
              <w:t>Mitigating measure(s)</w:t>
            </w:r>
          </w:p>
        </w:tc>
      </w:tr>
      <w:tr w:rsidR="002056A6" w:rsidRPr="00010261" w:rsidTr="006C146C">
        <w:tc>
          <w:tcPr>
            <w:tcW w:w="1833" w:type="dxa"/>
            <w:shd w:val="clear" w:color="auto" w:fill="auto"/>
            <w:tcMar>
              <w:top w:w="0" w:type="dxa"/>
              <w:left w:w="108" w:type="dxa"/>
              <w:bottom w:w="0" w:type="dxa"/>
              <w:right w:w="108" w:type="dxa"/>
            </w:tcMar>
            <w:vAlign w:val="center"/>
          </w:tcPr>
          <w:p w:rsidR="002056A6" w:rsidRPr="001D3609" w:rsidRDefault="00311F67" w:rsidP="0099415F">
            <w:pPr>
              <w:ind w:left="142"/>
              <w:jc w:val="center"/>
              <w:rPr>
                <w:rFonts w:cstheme="minorHAnsi"/>
                <w:sz w:val="24"/>
                <w:szCs w:val="24"/>
                <w:lang w:val="en-GB"/>
              </w:rPr>
            </w:pPr>
            <w:r w:rsidRPr="001D3609">
              <w:rPr>
                <w:rFonts w:cstheme="minorHAnsi"/>
                <w:sz w:val="24"/>
                <w:szCs w:val="24"/>
                <w:lang w:val="en-GB"/>
              </w:rPr>
              <w:t>3 / Public procurement procedure</w:t>
            </w:r>
            <w:r w:rsidR="006C146C" w:rsidRPr="001D3609">
              <w:rPr>
                <w:rFonts w:cstheme="minorHAnsi"/>
                <w:sz w:val="24"/>
                <w:szCs w:val="24"/>
                <w:lang w:val="en-GB"/>
              </w:rPr>
              <w:t xml:space="preserve"> (</w:t>
            </w:r>
            <w:r w:rsidRPr="001D3609">
              <w:rPr>
                <w:rFonts w:cstheme="minorHAnsi"/>
                <w:sz w:val="24"/>
                <w:szCs w:val="24"/>
                <w:lang w:val="en-GB"/>
              </w:rPr>
              <w:t>construction works</w:t>
            </w:r>
            <w:r w:rsidR="006C146C" w:rsidRPr="001D3609">
              <w:rPr>
                <w:rFonts w:cstheme="minorHAnsi"/>
                <w:sz w:val="24"/>
                <w:szCs w:val="24"/>
                <w:lang w:val="en-GB"/>
              </w:rPr>
              <w:t>, project management and audit support)</w:t>
            </w:r>
          </w:p>
        </w:tc>
        <w:tc>
          <w:tcPr>
            <w:tcW w:w="3260" w:type="dxa"/>
            <w:shd w:val="clear" w:color="auto" w:fill="auto"/>
            <w:tcMar>
              <w:top w:w="0" w:type="dxa"/>
              <w:left w:w="108" w:type="dxa"/>
              <w:bottom w:w="0" w:type="dxa"/>
              <w:right w:w="108" w:type="dxa"/>
            </w:tcMar>
            <w:hideMark/>
          </w:tcPr>
          <w:p w:rsidR="002056A6" w:rsidRPr="001D3609" w:rsidRDefault="00010261" w:rsidP="00010261">
            <w:pPr>
              <w:rPr>
                <w:rFonts w:cstheme="minorHAnsi"/>
                <w:sz w:val="24"/>
                <w:szCs w:val="24"/>
                <w:lang w:val="en-GB"/>
              </w:rPr>
            </w:pPr>
            <w:r w:rsidRPr="001D3609">
              <w:rPr>
                <w:rFonts w:cstheme="minorHAnsi"/>
                <w:spacing w:val="-10"/>
                <w:sz w:val="24"/>
                <w:szCs w:val="24"/>
                <w:lang w:val="en-GB"/>
              </w:rPr>
              <w:t>Obstructions</w:t>
            </w:r>
            <w:r w:rsidR="00526BD4" w:rsidRPr="001D3609">
              <w:rPr>
                <w:rFonts w:cstheme="minorHAnsi"/>
                <w:spacing w:val="-10"/>
                <w:sz w:val="24"/>
                <w:szCs w:val="24"/>
                <w:lang w:val="en-GB"/>
              </w:rPr>
              <w:t xml:space="preserve"> and </w:t>
            </w:r>
            <w:r w:rsidRPr="001D3609">
              <w:rPr>
                <w:rFonts w:cstheme="minorHAnsi"/>
                <w:spacing w:val="-10"/>
                <w:sz w:val="24"/>
                <w:szCs w:val="24"/>
                <w:lang w:val="en-GB"/>
              </w:rPr>
              <w:t xml:space="preserve">the use of </w:t>
            </w:r>
            <w:r w:rsidR="00526BD4" w:rsidRPr="001D3609">
              <w:rPr>
                <w:rFonts w:cstheme="minorHAnsi"/>
                <w:spacing w:val="-10"/>
                <w:sz w:val="24"/>
                <w:szCs w:val="24"/>
                <w:lang w:val="en-GB"/>
              </w:rPr>
              <w:t xml:space="preserve">appeals </w:t>
            </w:r>
          </w:p>
        </w:tc>
        <w:tc>
          <w:tcPr>
            <w:tcW w:w="1276" w:type="dxa"/>
            <w:shd w:val="clear" w:color="auto" w:fill="auto"/>
            <w:tcMar>
              <w:top w:w="0" w:type="dxa"/>
              <w:left w:w="108" w:type="dxa"/>
              <w:bottom w:w="0" w:type="dxa"/>
              <w:right w:w="108" w:type="dxa"/>
            </w:tcMar>
            <w:vAlign w:val="center"/>
            <w:hideMark/>
          </w:tcPr>
          <w:p w:rsidR="002056A6" w:rsidRPr="001D3609" w:rsidRDefault="00311F67" w:rsidP="00311F67">
            <w:pPr>
              <w:jc w:val="center"/>
              <w:rPr>
                <w:rFonts w:cstheme="minorHAnsi"/>
                <w:sz w:val="24"/>
                <w:szCs w:val="24"/>
                <w:lang w:val="en-GB"/>
              </w:rPr>
            </w:pPr>
            <w:r w:rsidRPr="001D3609">
              <w:rPr>
                <w:rFonts w:cstheme="minorHAnsi"/>
                <w:sz w:val="24"/>
                <w:szCs w:val="24"/>
                <w:lang w:val="en-GB"/>
              </w:rPr>
              <w:t>High</w:t>
            </w:r>
          </w:p>
        </w:tc>
        <w:tc>
          <w:tcPr>
            <w:tcW w:w="1276" w:type="dxa"/>
            <w:shd w:val="clear" w:color="auto" w:fill="auto"/>
            <w:tcMar>
              <w:top w:w="0" w:type="dxa"/>
              <w:left w:w="108" w:type="dxa"/>
              <w:bottom w:w="0" w:type="dxa"/>
              <w:right w:w="108" w:type="dxa"/>
            </w:tcMar>
            <w:vAlign w:val="center"/>
            <w:hideMark/>
          </w:tcPr>
          <w:p w:rsidR="002056A6" w:rsidRPr="001D3609" w:rsidRDefault="00311F67" w:rsidP="00311F67">
            <w:pPr>
              <w:jc w:val="center"/>
              <w:rPr>
                <w:rFonts w:cstheme="minorHAnsi"/>
                <w:sz w:val="24"/>
                <w:szCs w:val="24"/>
                <w:lang w:val="en-GB"/>
              </w:rPr>
            </w:pPr>
            <w:r w:rsidRPr="001D3609">
              <w:rPr>
                <w:rFonts w:cstheme="minorHAnsi"/>
                <w:sz w:val="24"/>
                <w:szCs w:val="24"/>
                <w:lang w:val="en-GB"/>
              </w:rPr>
              <w:t>H</w:t>
            </w:r>
            <w:r w:rsidR="002056A6" w:rsidRPr="001D3609">
              <w:rPr>
                <w:rFonts w:cstheme="minorHAnsi"/>
                <w:sz w:val="24"/>
                <w:szCs w:val="24"/>
                <w:lang w:val="en-GB"/>
              </w:rPr>
              <w:t>igh</w:t>
            </w:r>
          </w:p>
        </w:tc>
        <w:tc>
          <w:tcPr>
            <w:tcW w:w="1276" w:type="dxa"/>
            <w:shd w:val="clear" w:color="auto" w:fill="auto"/>
            <w:tcMar>
              <w:top w:w="0" w:type="dxa"/>
              <w:left w:w="108" w:type="dxa"/>
              <w:bottom w:w="0" w:type="dxa"/>
              <w:right w:w="108" w:type="dxa"/>
            </w:tcMar>
            <w:vAlign w:val="center"/>
            <w:hideMark/>
          </w:tcPr>
          <w:p w:rsidR="002056A6" w:rsidRPr="001D3609" w:rsidRDefault="00311F67" w:rsidP="00311F67">
            <w:pPr>
              <w:jc w:val="center"/>
              <w:rPr>
                <w:rFonts w:cstheme="minorHAnsi"/>
                <w:sz w:val="24"/>
                <w:szCs w:val="24"/>
                <w:lang w:val="en-GB"/>
              </w:rPr>
            </w:pPr>
            <w:r w:rsidRPr="001D3609">
              <w:rPr>
                <w:rFonts w:cstheme="minorHAnsi"/>
                <w:sz w:val="24"/>
                <w:szCs w:val="24"/>
                <w:lang w:val="en-GB"/>
              </w:rPr>
              <w:t>Beyond</w:t>
            </w:r>
          </w:p>
        </w:tc>
        <w:tc>
          <w:tcPr>
            <w:tcW w:w="5947" w:type="dxa"/>
            <w:shd w:val="clear" w:color="auto" w:fill="auto"/>
            <w:tcMar>
              <w:top w:w="0" w:type="dxa"/>
              <w:left w:w="108" w:type="dxa"/>
              <w:bottom w:w="0" w:type="dxa"/>
              <w:right w:w="108" w:type="dxa"/>
            </w:tcMar>
            <w:vAlign w:val="center"/>
            <w:hideMark/>
          </w:tcPr>
          <w:p w:rsidR="00010261" w:rsidRPr="001D3609" w:rsidRDefault="00010261" w:rsidP="002056A6">
            <w:pPr>
              <w:rPr>
                <w:rFonts w:cstheme="minorHAnsi"/>
                <w:sz w:val="24"/>
                <w:szCs w:val="24"/>
                <w:lang w:val="en-GB"/>
              </w:rPr>
            </w:pPr>
            <w:r w:rsidRPr="001D3609">
              <w:rPr>
                <w:rFonts w:cstheme="minorHAnsi"/>
                <w:sz w:val="24"/>
                <w:szCs w:val="24"/>
                <w:lang w:val="en-GB"/>
              </w:rPr>
              <w:t>Increased control of the tender documents and the participation conditions.</w:t>
            </w:r>
          </w:p>
          <w:p w:rsidR="00010261" w:rsidRPr="001D3609" w:rsidRDefault="00E14CC5" w:rsidP="002056A6">
            <w:pPr>
              <w:rPr>
                <w:rFonts w:cstheme="minorHAnsi"/>
                <w:sz w:val="24"/>
                <w:szCs w:val="24"/>
                <w:lang w:val="en-GB"/>
              </w:rPr>
            </w:pPr>
            <w:r w:rsidRPr="001D3609">
              <w:rPr>
                <w:rFonts w:cstheme="minorHAnsi"/>
                <w:sz w:val="24"/>
                <w:szCs w:val="24"/>
                <w:lang w:val="en-GB"/>
              </w:rPr>
              <w:t xml:space="preserve">No mitigation measures can be executed by </w:t>
            </w:r>
            <w:r w:rsidR="008F0037">
              <w:rPr>
                <w:rFonts w:cstheme="minorHAnsi"/>
                <w:sz w:val="24"/>
                <w:szCs w:val="24"/>
                <w:lang w:val="en-GB"/>
              </w:rPr>
              <w:t>ŽSR</w:t>
            </w:r>
            <w:r w:rsidRPr="001D3609">
              <w:rPr>
                <w:rFonts w:cstheme="minorHAnsi"/>
                <w:sz w:val="24"/>
                <w:szCs w:val="24"/>
                <w:lang w:val="en-GB"/>
              </w:rPr>
              <w:t xml:space="preserve"> within the public procurement </w:t>
            </w:r>
            <w:r w:rsidR="006A7318" w:rsidRPr="001D3609">
              <w:rPr>
                <w:rFonts w:cstheme="minorHAnsi"/>
                <w:sz w:val="24"/>
                <w:szCs w:val="24"/>
                <w:lang w:val="en-GB"/>
              </w:rPr>
              <w:t>procedure</w:t>
            </w:r>
            <w:r w:rsidR="00526BD4" w:rsidRPr="001D3609">
              <w:rPr>
                <w:rFonts w:cstheme="minorHAnsi"/>
                <w:sz w:val="24"/>
                <w:szCs w:val="24"/>
                <w:lang w:val="en-GB"/>
              </w:rPr>
              <w:t xml:space="preserve"> in terms of</w:t>
            </w:r>
            <w:r w:rsidR="00010261" w:rsidRPr="001D3609">
              <w:rPr>
                <w:rFonts w:cstheme="minorHAnsi"/>
                <w:sz w:val="24"/>
                <w:szCs w:val="24"/>
                <w:lang w:val="en-GB"/>
              </w:rPr>
              <w:t xml:space="preserve"> objections and the use of appeals.</w:t>
            </w:r>
            <w:r w:rsidR="002056A6" w:rsidRPr="001D3609">
              <w:rPr>
                <w:rFonts w:cstheme="minorHAnsi"/>
                <w:sz w:val="24"/>
                <w:szCs w:val="24"/>
                <w:lang w:val="en-GB"/>
              </w:rPr>
              <w:t xml:space="preserve"> </w:t>
            </w:r>
          </w:p>
          <w:p w:rsidR="002056A6" w:rsidRPr="001D3609" w:rsidRDefault="00E14CC5" w:rsidP="00010261">
            <w:pPr>
              <w:rPr>
                <w:rFonts w:cstheme="minorHAnsi"/>
                <w:sz w:val="24"/>
                <w:szCs w:val="24"/>
                <w:lang w:val="en-GB"/>
              </w:rPr>
            </w:pPr>
            <w:r w:rsidRPr="001D3609">
              <w:rPr>
                <w:rFonts w:cstheme="minorHAnsi"/>
                <w:sz w:val="24"/>
                <w:szCs w:val="24"/>
                <w:lang w:val="en-GB"/>
              </w:rPr>
              <w:br/>
            </w:r>
          </w:p>
        </w:tc>
      </w:tr>
      <w:tr w:rsidR="006A7318" w:rsidRPr="00010261" w:rsidTr="006C146C">
        <w:tc>
          <w:tcPr>
            <w:tcW w:w="1833" w:type="dxa"/>
            <w:shd w:val="clear" w:color="auto" w:fill="auto"/>
            <w:tcMar>
              <w:top w:w="0" w:type="dxa"/>
              <w:left w:w="108" w:type="dxa"/>
              <w:bottom w:w="0" w:type="dxa"/>
              <w:right w:w="108" w:type="dxa"/>
            </w:tcMar>
            <w:vAlign w:val="center"/>
          </w:tcPr>
          <w:p w:rsidR="006A7318" w:rsidRPr="001D3609" w:rsidRDefault="006A7318" w:rsidP="0099415F">
            <w:pPr>
              <w:ind w:left="142"/>
              <w:jc w:val="center"/>
              <w:rPr>
                <w:rFonts w:cstheme="minorHAnsi"/>
                <w:sz w:val="24"/>
                <w:szCs w:val="24"/>
                <w:lang w:val="en-GB"/>
              </w:rPr>
            </w:pPr>
            <w:r w:rsidRPr="001D3609">
              <w:rPr>
                <w:rFonts w:cstheme="minorHAnsi"/>
                <w:sz w:val="24"/>
                <w:szCs w:val="24"/>
                <w:lang w:val="en-GB"/>
              </w:rPr>
              <w:t xml:space="preserve">3 / </w:t>
            </w:r>
            <w:r w:rsidRPr="001D3609">
              <w:rPr>
                <w:rFonts w:cstheme="minorHAnsi"/>
                <w:noProof/>
                <w:spacing w:val="-10"/>
                <w:sz w:val="24"/>
                <w:szCs w:val="24"/>
              </w:rPr>
              <w:t>Contract signed for construction works,  construction works supervision</w:t>
            </w:r>
            <w:r w:rsidRPr="001D3609">
              <w:rPr>
                <w:rFonts w:cstheme="minorHAnsi"/>
                <w:sz w:val="24"/>
                <w:szCs w:val="24"/>
                <w:lang w:val="en-GB"/>
              </w:rPr>
              <w:t>, project management and audit support</w:t>
            </w:r>
          </w:p>
        </w:tc>
        <w:tc>
          <w:tcPr>
            <w:tcW w:w="3260" w:type="dxa"/>
            <w:shd w:val="clear" w:color="auto" w:fill="auto"/>
            <w:tcMar>
              <w:top w:w="0" w:type="dxa"/>
              <w:left w:w="108" w:type="dxa"/>
              <w:bottom w:w="0" w:type="dxa"/>
              <w:right w:w="108" w:type="dxa"/>
            </w:tcMar>
            <w:vAlign w:val="center"/>
          </w:tcPr>
          <w:p w:rsidR="006A7318" w:rsidRPr="001D3609" w:rsidRDefault="006A7318" w:rsidP="006A7318">
            <w:pPr>
              <w:rPr>
                <w:rFonts w:cstheme="minorHAnsi"/>
                <w:sz w:val="24"/>
                <w:szCs w:val="24"/>
                <w:lang w:val="en-GB"/>
              </w:rPr>
            </w:pPr>
            <w:r w:rsidRPr="001D3609">
              <w:rPr>
                <w:rFonts w:cstheme="minorHAnsi"/>
                <w:sz w:val="24"/>
                <w:szCs w:val="24"/>
                <w:lang w:val="en-GB"/>
              </w:rPr>
              <w:t>Recommendation not to conclude the contract / Cancellation of  public procurement procedure by Public Procurement Office</w:t>
            </w:r>
          </w:p>
        </w:tc>
        <w:tc>
          <w:tcPr>
            <w:tcW w:w="1276" w:type="dxa"/>
            <w:shd w:val="clear" w:color="auto" w:fill="auto"/>
            <w:tcMar>
              <w:top w:w="0" w:type="dxa"/>
              <w:left w:w="108" w:type="dxa"/>
              <w:bottom w:w="0" w:type="dxa"/>
              <w:right w:w="108" w:type="dxa"/>
            </w:tcMar>
            <w:vAlign w:val="center"/>
          </w:tcPr>
          <w:p w:rsidR="006A7318" w:rsidRPr="001D3609" w:rsidRDefault="006A7318" w:rsidP="006A7318">
            <w:pPr>
              <w:jc w:val="center"/>
              <w:rPr>
                <w:rFonts w:cstheme="minorHAnsi"/>
                <w:sz w:val="24"/>
                <w:szCs w:val="24"/>
                <w:lang w:val="en-GB"/>
              </w:rPr>
            </w:pPr>
            <w:r w:rsidRPr="001D3609">
              <w:rPr>
                <w:rFonts w:cstheme="minorHAnsi"/>
                <w:sz w:val="24"/>
                <w:szCs w:val="24"/>
                <w:lang w:val="en-GB"/>
              </w:rPr>
              <w:t>High</w:t>
            </w:r>
          </w:p>
        </w:tc>
        <w:tc>
          <w:tcPr>
            <w:tcW w:w="1276" w:type="dxa"/>
            <w:shd w:val="clear" w:color="auto" w:fill="auto"/>
            <w:tcMar>
              <w:top w:w="0" w:type="dxa"/>
              <w:left w:w="108" w:type="dxa"/>
              <w:bottom w:w="0" w:type="dxa"/>
              <w:right w:w="108" w:type="dxa"/>
            </w:tcMar>
            <w:vAlign w:val="center"/>
          </w:tcPr>
          <w:p w:rsidR="006A7318" w:rsidRPr="001D3609" w:rsidRDefault="006A7318" w:rsidP="006A7318">
            <w:pPr>
              <w:jc w:val="center"/>
              <w:rPr>
                <w:rFonts w:cstheme="minorHAnsi"/>
                <w:sz w:val="24"/>
                <w:szCs w:val="24"/>
                <w:lang w:val="en-GB"/>
              </w:rPr>
            </w:pPr>
            <w:r w:rsidRPr="001D3609">
              <w:rPr>
                <w:rFonts w:cstheme="minorHAnsi"/>
                <w:sz w:val="24"/>
                <w:szCs w:val="24"/>
                <w:lang w:val="en-GB"/>
              </w:rPr>
              <w:t>Low</w:t>
            </w:r>
          </w:p>
        </w:tc>
        <w:tc>
          <w:tcPr>
            <w:tcW w:w="1276" w:type="dxa"/>
            <w:shd w:val="clear" w:color="auto" w:fill="auto"/>
            <w:tcMar>
              <w:top w:w="0" w:type="dxa"/>
              <w:left w:w="108" w:type="dxa"/>
              <w:bottom w:w="0" w:type="dxa"/>
              <w:right w:w="108" w:type="dxa"/>
            </w:tcMar>
            <w:vAlign w:val="center"/>
          </w:tcPr>
          <w:p w:rsidR="006A7318" w:rsidRPr="001D3609" w:rsidRDefault="006A7318" w:rsidP="006A7318">
            <w:pPr>
              <w:jc w:val="center"/>
              <w:rPr>
                <w:rFonts w:cstheme="minorHAnsi"/>
                <w:sz w:val="24"/>
                <w:szCs w:val="24"/>
                <w:lang w:val="en-GB"/>
              </w:rPr>
            </w:pPr>
            <w:r w:rsidRPr="001D3609">
              <w:rPr>
                <w:rFonts w:cstheme="minorHAnsi"/>
                <w:sz w:val="24"/>
                <w:szCs w:val="24"/>
                <w:lang w:val="en-GB"/>
              </w:rPr>
              <w:t>Beyond</w:t>
            </w:r>
          </w:p>
        </w:tc>
        <w:tc>
          <w:tcPr>
            <w:tcW w:w="5947" w:type="dxa"/>
            <w:shd w:val="clear" w:color="auto" w:fill="auto"/>
            <w:tcMar>
              <w:top w:w="0" w:type="dxa"/>
              <w:left w:w="108" w:type="dxa"/>
              <w:bottom w:w="0" w:type="dxa"/>
              <w:right w:w="108" w:type="dxa"/>
            </w:tcMar>
          </w:tcPr>
          <w:p w:rsidR="006A7318" w:rsidRPr="001D3609" w:rsidRDefault="006A7318" w:rsidP="00FA21D9">
            <w:pPr>
              <w:rPr>
                <w:rFonts w:cstheme="minorHAnsi"/>
                <w:sz w:val="24"/>
                <w:szCs w:val="24"/>
                <w:lang w:val="en-GB"/>
              </w:rPr>
            </w:pPr>
            <w:r w:rsidRPr="001D3609">
              <w:rPr>
                <w:rFonts w:cstheme="minorHAnsi"/>
                <w:sz w:val="24"/>
                <w:szCs w:val="24"/>
                <w:lang w:val="en-GB"/>
              </w:rPr>
              <w:t xml:space="preserve">The MoTC SR may not recommend to conclude the contract after the inspection of the PP. The PPO may, within the control of the PP before signing the contract, order the cancellation of the PP if it finds out violation of the PPA in the PP process. The </w:t>
            </w:r>
            <w:r w:rsidR="008F0037">
              <w:rPr>
                <w:rFonts w:cstheme="minorHAnsi"/>
                <w:sz w:val="24"/>
                <w:szCs w:val="24"/>
                <w:lang w:val="en-GB"/>
              </w:rPr>
              <w:t>ŽSR</w:t>
            </w:r>
            <w:r w:rsidRPr="001D3609">
              <w:rPr>
                <w:rFonts w:cstheme="minorHAnsi"/>
                <w:sz w:val="24"/>
                <w:szCs w:val="24"/>
                <w:lang w:val="en-GB"/>
              </w:rPr>
              <w:t xml:space="preserve"> Railways have the right to appeal against such a decision. </w:t>
            </w:r>
            <w:r w:rsidRPr="00132F6E">
              <w:rPr>
                <w:rFonts w:cstheme="minorHAnsi"/>
                <w:sz w:val="24"/>
                <w:szCs w:val="24"/>
                <w:lang w:val="en-GB"/>
              </w:rPr>
              <w:t xml:space="preserve">Measures for such a risk </w:t>
            </w:r>
            <w:proofErr w:type="spellStart"/>
            <w:proofErr w:type="gramStart"/>
            <w:r w:rsidRPr="00132F6E">
              <w:rPr>
                <w:rFonts w:cstheme="minorHAnsi"/>
                <w:sz w:val="24"/>
                <w:szCs w:val="24"/>
                <w:lang w:val="en-GB"/>
              </w:rPr>
              <w:t>can</w:t>
            </w:r>
            <w:r w:rsidR="00132F6E">
              <w:rPr>
                <w:rFonts w:cstheme="minorHAnsi"/>
                <w:sz w:val="24"/>
                <w:szCs w:val="24"/>
                <w:lang w:val="en-GB"/>
              </w:rPr>
              <w:t xml:space="preserve"> </w:t>
            </w:r>
            <w:r w:rsidRPr="00132F6E">
              <w:rPr>
                <w:rFonts w:cstheme="minorHAnsi"/>
                <w:sz w:val="24"/>
                <w:szCs w:val="24"/>
                <w:lang w:val="en-GB"/>
              </w:rPr>
              <w:t>not</w:t>
            </w:r>
            <w:proofErr w:type="spellEnd"/>
            <w:proofErr w:type="gramEnd"/>
            <w:r w:rsidRPr="00132F6E">
              <w:rPr>
                <w:rFonts w:cstheme="minorHAnsi"/>
                <w:sz w:val="24"/>
                <w:szCs w:val="24"/>
                <w:lang w:val="en-GB"/>
              </w:rPr>
              <w:t xml:space="preserve"> be proposed, as the PPO and the MoTC SR are separate institutions and </w:t>
            </w:r>
            <w:r w:rsidR="008F0037" w:rsidRPr="00132F6E">
              <w:rPr>
                <w:rFonts w:cstheme="minorHAnsi"/>
                <w:sz w:val="24"/>
                <w:szCs w:val="24"/>
                <w:lang w:val="en-GB"/>
              </w:rPr>
              <w:t xml:space="preserve">ŽSR </w:t>
            </w:r>
            <w:r w:rsidRPr="00132F6E">
              <w:rPr>
                <w:rFonts w:cstheme="minorHAnsi"/>
                <w:sz w:val="24"/>
                <w:szCs w:val="24"/>
                <w:lang w:val="en-GB"/>
              </w:rPr>
              <w:t xml:space="preserve">do not affect their decisions. However, the </w:t>
            </w:r>
            <w:r w:rsidR="008F0037" w:rsidRPr="00132F6E">
              <w:rPr>
                <w:rFonts w:cstheme="minorHAnsi"/>
                <w:sz w:val="24"/>
                <w:szCs w:val="24"/>
                <w:lang w:val="en-GB"/>
              </w:rPr>
              <w:t xml:space="preserve">ŽSR </w:t>
            </w:r>
            <w:r w:rsidRPr="00132F6E">
              <w:rPr>
                <w:rFonts w:cstheme="minorHAnsi"/>
                <w:sz w:val="24"/>
                <w:szCs w:val="24"/>
                <w:lang w:val="en-GB"/>
              </w:rPr>
              <w:t>do not</w:t>
            </w:r>
            <w:r w:rsidRPr="001D3609">
              <w:rPr>
                <w:rFonts w:cstheme="minorHAnsi"/>
                <w:sz w:val="24"/>
                <w:szCs w:val="24"/>
                <w:lang w:val="en-GB"/>
              </w:rPr>
              <w:t xml:space="preserve"> anticipate such a situation, as the PP preparation as well as the entire PP process is</w:t>
            </w:r>
            <w:bookmarkStart w:id="0" w:name="_GoBack"/>
            <w:bookmarkEnd w:id="0"/>
            <w:r w:rsidRPr="001D3609">
              <w:rPr>
                <w:rFonts w:cstheme="minorHAnsi"/>
                <w:sz w:val="24"/>
                <w:szCs w:val="24"/>
                <w:lang w:val="en-GB"/>
              </w:rPr>
              <w:t xml:space="preserve"> carried out in accordance with the PPA.</w:t>
            </w:r>
          </w:p>
        </w:tc>
      </w:tr>
      <w:tr w:rsidR="00E14CC5" w:rsidRPr="00010261" w:rsidTr="006C146C">
        <w:tc>
          <w:tcPr>
            <w:tcW w:w="1833" w:type="dxa"/>
            <w:shd w:val="clear" w:color="auto" w:fill="auto"/>
            <w:tcMar>
              <w:top w:w="0" w:type="dxa"/>
              <w:left w:w="108" w:type="dxa"/>
              <w:bottom w:w="0" w:type="dxa"/>
              <w:right w:w="108" w:type="dxa"/>
            </w:tcMar>
            <w:vAlign w:val="center"/>
          </w:tcPr>
          <w:p w:rsidR="00E14CC5" w:rsidRPr="001D3609" w:rsidRDefault="00E14CC5" w:rsidP="00E14CC5">
            <w:pPr>
              <w:ind w:left="142"/>
              <w:jc w:val="center"/>
              <w:rPr>
                <w:rFonts w:cstheme="minorHAnsi"/>
                <w:sz w:val="24"/>
                <w:szCs w:val="24"/>
                <w:lang w:val="en-GB"/>
              </w:rPr>
            </w:pPr>
            <w:r w:rsidRPr="001D3609">
              <w:rPr>
                <w:rFonts w:cstheme="minorHAnsi"/>
                <w:sz w:val="24"/>
                <w:szCs w:val="24"/>
                <w:lang w:val="en-GB"/>
              </w:rPr>
              <w:lastRenderedPageBreak/>
              <w:t>3</w:t>
            </w:r>
          </w:p>
        </w:tc>
        <w:tc>
          <w:tcPr>
            <w:tcW w:w="3260" w:type="dxa"/>
            <w:shd w:val="clear" w:color="auto" w:fill="auto"/>
            <w:tcMar>
              <w:top w:w="0" w:type="dxa"/>
              <w:left w:w="108" w:type="dxa"/>
              <w:bottom w:w="0" w:type="dxa"/>
              <w:right w:w="108" w:type="dxa"/>
            </w:tcMar>
            <w:vAlign w:val="center"/>
            <w:hideMark/>
          </w:tcPr>
          <w:p w:rsidR="00E14CC5" w:rsidRPr="001D3609" w:rsidRDefault="00E14CC5" w:rsidP="00E14CC5">
            <w:pPr>
              <w:rPr>
                <w:rFonts w:cstheme="minorHAnsi"/>
                <w:sz w:val="24"/>
                <w:szCs w:val="24"/>
                <w:lang w:val="en-GB"/>
              </w:rPr>
            </w:pPr>
            <w:r w:rsidRPr="001D3609">
              <w:rPr>
                <w:rFonts w:cstheme="minorHAnsi"/>
                <w:sz w:val="24"/>
                <w:szCs w:val="24"/>
                <w:lang w:val="en-GB"/>
              </w:rPr>
              <w:t>Poor-quality project management</w:t>
            </w:r>
          </w:p>
        </w:tc>
        <w:tc>
          <w:tcPr>
            <w:tcW w:w="1276" w:type="dxa"/>
            <w:shd w:val="clear" w:color="auto" w:fill="auto"/>
            <w:tcMar>
              <w:top w:w="0" w:type="dxa"/>
              <w:left w:w="108" w:type="dxa"/>
              <w:bottom w:w="0" w:type="dxa"/>
              <w:right w:w="108" w:type="dxa"/>
            </w:tcMar>
            <w:vAlign w:val="center"/>
            <w:hideMark/>
          </w:tcPr>
          <w:p w:rsidR="00E14CC5" w:rsidRPr="001D3609" w:rsidRDefault="00E14CC5" w:rsidP="00E14CC5">
            <w:pPr>
              <w:jc w:val="center"/>
              <w:rPr>
                <w:rFonts w:cstheme="minorHAnsi"/>
                <w:sz w:val="24"/>
                <w:szCs w:val="24"/>
                <w:lang w:val="en-GB"/>
              </w:rPr>
            </w:pPr>
            <w:r w:rsidRPr="001D3609">
              <w:rPr>
                <w:rFonts w:cstheme="minorHAnsi"/>
                <w:sz w:val="24"/>
                <w:szCs w:val="24"/>
                <w:lang w:val="en-GB"/>
              </w:rPr>
              <w:t>High</w:t>
            </w:r>
          </w:p>
        </w:tc>
        <w:tc>
          <w:tcPr>
            <w:tcW w:w="1276" w:type="dxa"/>
            <w:shd w:val="clear" w:color="auto" w:fill="auto"/>
            <w:tcMar>
              <w:top w:w="0" w:type="dxa"/>
              <w:left w:w="108" w:type="dxa"/>
              <w:bottom w:w="0" w:type="dxa"/>
              <w:right w:w="108" w:type="dxa"/>
            </w:tcMar>
            <w:vAlign w:val="center"/>
            <w:hideMark/>
          </w:tcPr>
          <w:p w:rsidR="00E14CC5" w:rsidRPr="001D3609" w:rsidRDefault="00E14CC5" w:rsidP="00E14CC5">
            <w:pPr>
              <w:jc w:val="center"/>
              <w:rPr>
                <w:rFonts w:cstheme="minorHAnsi"/>
                <w:sz w:val="24"/>
                <w:szCs w:val="24"/>
                <w:lang w:val="en-GB"/>
              </w:rPr>
            </w:pPr>
            <w:r w:rsidRPr="001D3609">
              <w:rPr>
                <w:rFonts w:cstheme="minorHAnsi"/>
                <w:sz w:val="24"/>
                <w:szCs w:val="24"/>
                <w:lang w:val="en-GB"/>
              </w:rPr>
              <w:t>Low</w:t>
            </w:r>
          </w:p>
        </w:tc>
        <w:tc>
          <w:tcPr>
            <w:tcW w:w="1276" w:type="dxa"/>
            <w:shd w:val="clear" w:color="auto" w:fill="auto"/>
            <w:tcMar>
              <w:top w:w="0" w:type="dxa"/>
              <w:left w:w="108" w:type="dxa"/>
              <w:bottom w:w="0" w:type="dxa"/>
              <w:right w:w="108" w:type="dxa"/>
            </w:tcMar>
            <w:vAlign w:val="center"/>
            <w:hideMark/>
          </w:tcPr>
          <w:p w:rsidR="00E14CC5" w:rsidRPr="001D3609" w:rsidRDefault="00E14CC5" w:rsidP="00E14CC5">
            <w:pPr>
              <w:jc w:val="center"/>
              <w:rPr>
                <w:rFonts w:cstheme="minorHAnsi"/>
                <w:sz w:val="24"/>
                <w:szCs w:val="24"/>
                <w:lang w:val="en-GB"/>
              </w:rPr>
            </w:pPr>
            <w:r w:rsidRPr="001D3609">
              <w:rPr>
                <w:rFonts w:cstheme="minorHAnsi"/>
                <w:sz w:val="24"/>
                <w:szCs w:val="24"/>
                <w:lang w:val="en-GB"/>
              </w:rPr>
              <w:t>Under</w:t>
            </w:r>
          </w:p>
        </w:tc>
        <w:tc>
          <w:tcPr>
            <w:tcW w:w="5947" w:type="dxa"/>
            <w:shd w:val="clear" w:color="auto" w:fill="auto"/>
            <w:tcMar>
              <w:top w:w="0" w:type="dxa"/>
              <w:left w:w="108" w:type="dxa"/>
              <w:bottom w:w="0" w:type="dxa"/>
              <w:right w:w="108" w:type="dxa"/>
            </w:tcMar>
            <w:hideMark/>
          </w:tcPr>
          <w:p w:rsidR="00E14CC5" w:rsidRPr="001D3609" w:rsidRDefault="00E14CC5" w:rsidP="00E14CC5">
            <w:pPr>
              <w:rPr>
                <w:rFonts w:cstheme="minorHAnsi"/>
                <w:sz w:val="24"/>
                <w:szCs w:val="24"/>
                <w:lang w:val="en-GB"/>
              </w:rPr>
            </w:pPr>
            <w:r w:rsidRPr="001D3609">
              <w:rPr>
                <w:rFonts w:cstheme="minorHAnsi"/>
                <w:sz w:val="24"/>
                <w:szCs w:val="24"/>
                <w:lang w:val="en-GB"/>
              </w:rPr>
              <w:t>Creating a sufficiently competent and experienced project team covering all project areas and stages, and possibly also ensuring a third-party consultancy. Setting an effective organisational structure and internal project processes.</w:t>
            </w:r>
          </w:p>
        </w:tc>
      </w:tr>
      <w:tr w:rsidR="00E14CC5" w:rsidRPr="00010261" w:rsidTr="006C146C">
        <w:tc>
          <w:tcPr>
            <w:tcW w:w="1833" w:type="dxa"/>
            <w:shd w:val="clear" w:color="auto" w:fill="auto"/>
            <w:tcMar>
              <w:top w:w="0" w:type="dxa"/>
              <w:left w:w="108" w:type="dxa"/>
              <w:bottom w:w="0" w:type="dxa"/>
              <w:right w:w="108" w:type="dxa"/>
            </w:tcMar>
            <w:vAlign w:val="center"/>
          </w:tcPr>
          <w:p w:rsidR="00E14CC5" w:rsidRPr="00010261" w:rsidRDefault="00E14CC5" w:rsidP="00E14CC5">
            <w:pPr>
              <w:ind w:left="142"/>
              <w:jc w:val="center"/>
              <w:rPr>
                <w:rFonts w:cstheme="minorHAnsi"/>
                <w:sz w:val="24"/>
                <w:szCs w:val="24"/>
                <w:lang w:val="en-GB"/>
              </w:rPr>
            </w:pPr>
            <w:r>
              <w:rPr>
                <w:rFonts w:cstheme="minorHAnsi"/>
                <w:sz w:val="24"/>
                <w:szCs w:val="24"/>
                <w:lang w:val="en-GB"/>
              </w:rPr>
              <w:t>3</w:t>
            </w:r>
          </w:p>
        </w:tc>
        <w:tc>
          <w:tcPr>
            <w:tcW w:w="3260" w:type="dxa"/>
            <w:shd w:val="clear" w:color="auto" w:fill="auto"/>
            <w:tcMar>
              <w:top w:w="0" w:type="dxa"/>
              <w:left w:w="108" w:type="dxa"/>
              <w:bottom w:w="0" w:type="dxa"/>
              <w:right w:w="108" w:type="dxa"/>
            </w:tcMar>
            <w:vAlign w:val="center"/>
            <w:hideMark/>
          </w:tcPr>
          <w:p w:rsidR="00E14CC5" w:rsidRPr="00010261" w:rsidRDefault="00E14CC5" w:rsidP="00E14CC5">
            <w:pPr>
              <w:rPr>
                <w:rFonts w:cstheme="minorHAnsi"/>
                <w:sz w:val="24"/>
                <w:szCs w:val="24"/>
                <w:lang w:val="en-GB"/>
              </w:rPr>
            </w:pPr>
            <w:r w:rsidRPr="00010261">
              <w:rPr>
                <w:rFonts w:cstheme="minorHAnsi"/>
                <w:sz w:val="24"/>
                <w:szCs w:val="24"/>
                <w:lang w:val="en-GB"/>
              </w:rPr>
              <w:t>Price increase by the contractor during implementation</w:t>
            </w:r>
          </w:p>
        </w:tc>
        <w:tc>
          <w:tcPr>
            <w:tcW w:w="1276" w:type="dxa"/>
            <w:shd w:val="clear" w:color="auto" w:fill="auto"/>
            <w:tcMar>
              <w:top w:w="0" w:type="dxa"/>
              <w:left w:w="108" w:type="dxa"/>
              <w:bottom w:w="0" w:type="dxa"/>
              <w:right w:w="108" w:type="dxa"/>
            </w:tcMar>
            <w:vAlign w:val="center"/>
            <w:hideMark/>
          </w:tcPr>
          <w:p w:rsidR="00E14CC5" w:rsidRPr="00010261" w:rsidRDefault="00E14CC5" w:rsidP="00E14CC5">
            <w:pPr>
              <w:jc w:val="center"/>
              <w:rPr>
                <w:rFonts w:cstheme="minorHAnsi"/>
                <w:sz w:val="24"/>
                <w:szCs w:val="24"/>
                <w:lang w:val="en-GB"/>
              </w:rPr>
            </w:pPr>
            <w:r w:rsidRPr="00010261">
              <w:rPr>
                <w:rFonts w:cstheme="minorHAnsi"/>
                <w:sz w:val="24"/>
                <w:szCs w:val="24"/>
                <w:lang w:val="en-GB"/>
              </w:rPr>
              <w:t>High</w:t>
            </w:r>
          </w:p>
        </w:tc>
        <w:tc>
          <w:tcPr>
            <w:tcW w:w="1276" w:type="dxa"/>
            <w:shd w:val="clear" w:color="auto" w:fill="auto"/>
            <w:tcMar>
              <w:top w:w="0" w:type="dxa"/>
              <w:left w:w="108" w:type="dxa"/>
              <w:bottom w:w="0" w:type="dxa"/>
              <w:right w:w="108" w:type="dxa"/>
            </w:tcMar>
            <w:vAlign w:val="center"/>
            <w:hideMark/>
          </w:tcPr>
          <w:p w:rsidR="00E14CC5" w:rsidRPr="00010261" w:rsidRDefault="00E14CC5" w:rsidP="00E14CC5">
            <w:pPr>
              <w:jc w:val="center"/>
              <w:rPr>
                <w:rFonts w:cstheme="minorHAnsi"/>
                <w:sz w:val="24"/>
                <w:szCs w:val="24"/>
                <w:lang w:val="en-GB"/>
              </w:rPr>
            </w:pPr>
            <w:r w:rsidRPr="00010261">
              <w:rPr>
                <w:rFonts w:cstheme="minorHAnsi"/>
                <w:sz w:val="24"/>
                <w:szCs w:val="24"/>
                <w:lang w:val="en-GB"/>
              </w:rPr>
              <w:t>Low</w:t>
            </w:r>
          </w:p>
        </w:tc>
        <w:tc>
          <w:tcPr>
            <w:tcW w:w="1276" w:type="dxa"/>
            <w:shd w:val="clear" w:color="auto" w:fill="auto"/>
            <w:tcMar>
              <w:top w:w="0" w:type="dxa"/>
              <w:left w:w="108" w:type="dxa"/>
              <w:bottom w:w="0" w:type="dxa"/>
              <w:right w:w="108" w:type="dxa"/>
            </w:tcMar>
            <w:vAlign w:val="center"/>
            <w:hideMark/>
          </w:tcPr>
          <w:p w:rsidR="00E14CC5" w:rsidRPr="00010261" w:rsidRDefault="00E14CC5" w:rsidP="00E14CC5">
            <w:pPr>
              <w:jc w:val="center"/>
              <w:rPr>
                <w:rFonts w:cstheme="minorHAnsi"/>
                <w:sz w:val="24"/>
                <w:szCs w:val="24"/>
                <w:lang w:val="en-GB"/>
              </w:rPr>
            </w:pPr>
            <w:r w:rsidRPr="00010261">
              <w:rPr>
                <w:rFonts w:cstheme="minorHAnsi"/>
                <w:sz w:val="24"/>
                <w:szCs w:val="24"/>
                <w:lang w:val="en-GB"/>
              </w:rPr>
              <w:t>Beyond</w:t>
            </w:r>
          </w:p>
        </w:tc>
        <w:tc>
          <w:tcPr>
            <w:tcW w:w="5947" w:type="dxa"/>
            <w:shd w:val="clear" w:color="auto" w:fill="auto"/>
            <w:tcMar>
              <w:top w:w="0" w:type="dxa"/>
              <w:left w:w="108" w:type="dxa"/>
              <w:bottom w:w="0" w:type="dxa"/>
              <w:right w:w="108" w:type="dxa"/>
            </w:tcMar>
            <w:vAlign w:val="center"/>
            <w:hideMark/>
          </w:tcPr>
          <w:p w:rsidR="00E14CC5" w:rsidRPr="00010261" w:rsidRDefault="00E14CC5" w:rsidP="00E14CC5">
            <w:pPr>
              <w:rPr>
                <w:rFonts w:cstheme="minorHAnsi"/>
                <w:sz w:val="24"/>
                <w:szCs w:val="24"/>
                <w:lang w:val="en-GB"/>
              </w:rPr>
            </w:pPr>
            <w:r w:rsidRPr="00010261">
              <w:rPr>
                <w:rFonts w:cstheme="minorHAnsi"/>
                <w:sz w:val="24"/>
                <w:szCs w:val="24"/>
                <w:lang w:val="en-GB"/>
              </w:rPr>
              <w:t>Precise setting of the contract with the contractor containing a procedure for the given case.</w:t>
            </w:r>
          </w:p>
        </w:tc>
      </w:tr>
      <w:tr w:rsidR="00E14CC5" w:rsidRPr="00010261" w:rsidTr="006C146C">
        <w:tc>
          <w:tcPr>
            <w:tcW w:w="1833" w:type="dxa"/>
            <w:shd w:val="clear" w:color="auto" w:fill="auto"/>
            <w:tcMar>
              <w:top w:w="0" w:type="dxa"/>
              <w:left w:w="108" w:type="dxa"/>
              <w:bottom w:w="0" w:type="dxa"/>
              <w:right w:w="108" w:type="dxa"/>
            </w:tcMar>
            <w:vAlign w:val="center"/>
          </w:tcPr>
          <w:p w:rsidR="00E14CC5" w:rsidRPr="00010261" w:rsidRDefault="00E14CC5" w:rsidP="00E14CC5">
            <w:pPr>
              <w:ind w:left="142"/>
              <w:jc w:val="center"/>
              <w:rPr>
                <w:rFonts w:cstheme="minorHAnsi"/>
                <w:sz w:val="24"/>
                <w:szCs w:val="24"/>
                <w:lang w:val="en-GB"/>
              </w:rPr>
            </w:pPr>
            <w:r>
              <w:rPr>
                <w:rFonts w:cstheme="minorHAnsi"/>
                <w:sz w:val="24"/>
                <w:szCs w:val="24"/>
                <w:lang w:val="en-GB"/>
              </w:rPr>
              <w:t>2</w:t>
            </w:r>
          </w:p>
        </w:tc>
        <w:tc>
          <w:tcPr>
            <w:tcW w:w="3260" w:type="dxa"/>
            <w:shd w:val="clear" w:color="auto" w:fill="auto"/>
            <w:tcMar>
              <w:top w:w="0" w:type="dxa"/>
              <w:left w:w="108" w:type="dxa"/>
              <w:bottom w:w="0" w:type="dxa"/>
              <w:right w:w="108" w:type="dxa"/>
            </w:tcMar>
            <w:vAlign w:val="center"/>
          </w:tcPr>
          <w:p w:rsidR="00E14CC5" w:rsidRPr="00010261" w:rsidRDefault="00E14CC5" w:rsidP="00E14CC5">
            <w:pPr>
              <w:rPr>
                <w:rFonts w:cstheme="minorHAnsi"/>
                <w:sz w:val="24"/>
                <w:szCs w:val="24"/>
                <w:lang w:val="en-GB"/>
              </w:rPr>
            </w:pPr>
            <w:r w:rsidRPr="00010261">
              <w:rPr>
                <w:rFonts w:cstheme="minorHAnsi"/>
                <w:sz w:val="24"/>
                <w:szCs w:val="24"/>
                <w:lang w:val="en-GB"/>
              </w:rPr>
              <w:t>Delays in construction works execution</w:t>
            </w:r>
          </w:p>
        </w:tc>
        <w:tc>
          <w:tcPr>
            <w:tcW w:w="1276" w:type="dxa"/>
            <w:shd w:val="clear" w:color="auto" w:fill="auto"/>
            <w:tcMar>
              <w:top w:w="0" w:type="dxa"/>
              <w:left w:w="108" w:type="dxa"/>
              <w:bottom w:w="0" w:type="dxa"/>
              <w:right w:w="108" w:type="dxa"/>
            </w:tcMar>
            <w:vAlign w:val="center"/>
          </w:tcPr>
          <w:p w:rsidR="00E14CC5" w:rsidRPr="00010261" w:rsidRDefault="00E14CC5" w:rsidP="00E14CC5">
            <w:pPr>
              <w:jc w:val="center"/>
              <w:rPr>
                <w:rFonts w:cstheme="minorHAnsi"/>
                <w:sz w:val="24"/>
                <w:szCs w:val="24"/>
                <w:lang w:val="en-GB"/>
              </w:rPr>
            </w:pPr>
            <w:r w:rsidRPr="00010261">
              <w:rPr>
                <w:rFonts w:cstheme="minorHAnsi"/>
                <w:sz w:val="24"/>
                <w:szCs w:val="24"/>
                <w:lang w:val="en-GB"/>
              </w:rPr>
              <w:t xml:space="preserve">Low </w:t>
            </w:r>
          </w:p>
        </w:tc>
        <w:tc>
          <w:tcPr>
            <w:tcW w:w="1276" w:type="dxa"/>
            <w:shd w:val="clear" w:color="auto" w:fill="auto"/>
            <w:tcMar>
              <w:top w:w="0" w:type="dxa"/>
              <w:left w:w="108" w:type="dxa"/>
              <w:bottom w:w="0" w:type="dxa"/>
              <w:right w:w="108" w:type="dxa"/>
            </w:tcMar>
            <w:vAlign w:val="center"/>
          </w:tcPr>
          <w:p w:rsidR="00E14CC5" w:rsidRPr="00010261" w:rsidRDefault="00E14CC5" w:rsidP="00E14CC5">
            <w:pPr>
              <w:jc w:val="center"/>
              <w:rPr>
                <w:rFonts w:cstheme="minorHAnsi"/>
                <w:sz w:val="24"/>
                <w:szCs w:val="24"/>
                <w:lang w:val="en-GB"/>
              </w:rPr>
            </w:pPr>
            <w:r w:rsidRPr="00010261">
              <w:rPr>
                <w:rFonts w:cstheme="minorHAnsi"/>
                <w:sz w:val="24"/>
                <w:szCs w:val="24"/>
                <w:lang w:val="en-GB"/>
              </w:rPr>
              <w:t>High</w:t>
            </w:r>
          </w:p>
        </w:tc>
        <w:tc>
          <w:tcPr>
            <w:tcW w:w="1276" w:type="dxa"/>
            <w:shd w:val="clear" w:color="auto" w:fill="auto"/>
            <w:tcMar>
              <w:top w:w="0" w:type="dxa"/>
              <w:left w:w="108" w:type="dxa"/>
              <w:bottom w:w="0" w:type="dxa"/>
              <w:right w:w="108" w:type="dxa"/>
            </w:tcMar>
            <w:vAlign w:val="center"/>
          </w:tcPr>
          <w:p w:rsidR="00E14CC5" w:rsidRPr="00010261" w:rsidRDefault="00E14CC5" w:rsidP="00E14CC5">
            <w:pPr>
              <w:jc w:val="center"/>
              <w:rPr>
                <w:rFonts w:cstheme="minorHAnsi"/>
                <w:sz w:val="24"/>
                <w:szCs w:val="24"/>
                <w:lang w:val="en-GB"/>
              </w:rPr>
            </w:pPr>
            <w:r w:rsidRPr="00010261">
              <w:rPr>
                <w:rFonts w:cstheme="minorHAnsi"/>
                <w:sz w:val="24"/>
                <w:szCs w:val="24"/>
                <w:lang w:val="en-GB"/>
              </w:rPr>
              <w:t>Beyond</w:t>
            </w:r>
          </w:p>
        </w:tc>
        <w:tc>
          <w:tcPr>
            <w:tcW w:w="5947" w:type="dxa"/>
            <w:shd w:val="clear" w:color="auto" w:fill="auto"/>
            <w:tcMar>
              <w:top w:w="0" w:type="dxa"/>
              <w:left w:w="108" w:type="dxa"/>
              <w:bottom w:w="0" w:type="dxa"/>
              <w:right w:w="108" w:type="dxa"/>
            </w:tcMar>
            <w:vAlign w:val="center"/>
          </w:tcPr>
          <w:p w:rsidR="00E14CC5" w:rsidRPr="00010261" w:rsidRDefault="00E14CC5" w:rsidP="00E14CC5">
            <w:pPr>
              <w:rPr>
                <w:rFonts w:cstheme="minorHAnsi"/>
                <w:sz w:val="24"/>
                <w:szCs w:val="24"/>
                <w:lang w:val="en-GB"/>
              </w:rPr>
            </w:pPr>
            <w:r w:rsidRPr="00010261">
              <w:rPr>
                <w:rFonts w:cstheme="minorHAnsi"/>
                <w:sz w:val="24"/>
                <w:szCs w:val="24"/>
                <w:lang w:val="en-GB"/>
              </w:rPr>
              <w:t>Ensuring high quality of detail design documentation and creating a sufficiently competent and experienced project team covering all project areas and stages. Setting an effective organizational structure and internal project processes.</w:t>
            </w:r>
          </w:p>
          <w:p w:rsidR="00E14CC5" w:rsidRPr="00010261" w:rsidRDefault="00E14CC5" w:rsidP="00E14CC5">
            <w:pPr>
              <w:rPr>
                <w:rFonts w:cstheme="minorHAnsi"/>
                <w:sz w:val="24"/>
                <w:szCs w:val="24"/>
                <w:lang w:val="en-GB"/>
              </w:rPr>
            </w:pPr>
            <w:r w:rsidRPr="00010261">
              <w:rPr>
                <w:rFonts w:cstheme="minorHAnsi"/>
                <w:sz w:val="24"/>
                <w:szCs w:val="24"/>
                <w:lang w:val="en-GB"/>
              </w:rPr>
              <w:t>Proactive monitoring and reporting of progress of works including risk reporting, setup of mitigation measures for recognized risks and its application</w:t>
            </w:r>
          </w:p>
        </w:tc>
      </w:tr>
    </w:tbl>
    <w:p w:rsidR="003C0AE1" w:rsidRDefault="003C0AE1" w:rsidP="001C6729">
      <w:pPr>
        <w:pStyle w:val="StyleStyleSectionslistNotBoldItalic12ptBold"/>
        <w:spacing w:after="0"/>
        <w:ind w:left="567"/>
        <w:rPr>
          <w:rFonts w:ascii="Verdana" w:hAnsi="Verdana" w:cs="Arial"/>
          <w:b w:val="0"/>
          <w:sz w:val="20"/>
          <w:szCs w:val="20"/>
        </w:rPr>
      </w:pPr>
    </w:p>
    <w:p w:rsidR="00FB7926" w:rsidRPr="00010261" w:rsidRDefault="00FB7926" w:rsidP="00B46A93">
      <w:pPr>
        <w:pStyle w:val="StyleStyleSectionslistNotBoldItalic12ptBold"/>
        <w:spacing w:after="0"/>
        <w:rPr>
          <w:rFonts w:ascii="Verdana" w:hAnsi="Verdana" w:cs="Arial"/>
          <w:b w:val="0"/>
          <w:sz w:val="20"/>
          <w:szCs w:val="20"/>
        </w:rPr>
      </w:pPr>
    </w:p>
    <w:sectPr w:rsidR="00FB7926" w:rsidRPr="00010261" w:rsidSect="001C672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AA05F3"/>
    <w:multiLevelType w:val="multilevel"/>
    <w:tmpl w:val="F29AB32C"/>
    <w:lvl w:ilvl="0">
      <w:start w:val="1"/>
      <w:numFmt w:val="decimal"/>
      <w:lvlText w:val="%1."/>
      <w:lvlJc w:val="left"/>
      <w:pPr>
        <w:tabs>
          <w:tab w:val="num" w:pos="567"/>
        </w:tabs>
        <w:ind w:left="567" w:hanging="567"/>
      </w:pPr>
      <w:rPr>
        <w:rFonts w:hint="default"/>
        <w:sz w:val="24"/>
      </w:rPr>
    </w:lvl>
    <w:lvl w:ilvl="1">
      <w:start w:val="1"/>
      <w:numFmt w:val="decimal"/>
      <w:lvlText w:val="%1.%2."/>
      <w:lvlJc w:val="left"/>
      <w:pPr>
        <w:tabs>
          <w:tab w:val="num" w:pos="709"/>
        </w:tabs>
        <w:ind w:left="709" w:hanging="567"/>
      </w:pPr>
      <w:rPr>
        <w:rFonts w:hint="default"/>
        <w:b/>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709"/>
        </w:tabs>
        <w:ind w:left="709" w:hanging="709"/>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29"/>
    <w:rsid w:val="00010261"/>
    <w:rsid w:val="00132F6E"/>
    <w:rsid w:val="00161FF1"/>
    <w:rsid w:val="001C6729"/>
    <w:rsid w:val="001D3609"/>
    <w:rsid w:val="002056A6"/>
    <w:rsid w:val="00311F67"/>
    <w:rsid w:val="003C0AE1"/>
    <w:rsid w:val="004E4F85"/>
    <w:rsid w:val="00526BD4"/>
    <w:rsid w:val="00534006"/>
    <w:rsid w:val="00581802"/>
    <w:rsid w:val="006A7318"/>
    <w:rsid w:val="006C146C"/>
    <w:rsid w:val="00731DD0"/>
    <w:rsid w:val="00772EFD"/>
    <w:rsid w:val="00793DA6"/>
    <w:rsid w:val="007C12E2"/>
    <w:rsid w:val="007C51A7"/>
    <w:rsid w:val="008F0037"/>
    <w:rsid w:val="0099415F"/>
    <w:rsid w:val="009F05BF"/>
    <w:rsid w:val="00B37CDD"/>
    <w:rsid w:val="00B46A93"/>
    <w:rsid w:val="00B656FF"/>
    <w:rsid w:val="00B73AFC"/>
    <w:rsid w:val="00B91179"/>
    <w:rsid w:val="00D6193A"/>
    <w:rsid w:val="00D87145"/>
    <w:rsid w:val="00E14CC5"/>
    <w:rsid w:val="00F73E5D"/>
    <w:rsid w:val="00FA21D9"/>
    <w:rsid w:val="00FB792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96168C-2B10-47E9-A1BA-BB152BD3A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StyleStyleSectionslistNotBoldItalic12ptBold">
    <w:name w:val="Style Style Sections list + Not Bold Italic + 12 pt Bold"/>
    <w:basedOn w:val="Normlny"/>
    <w:rsid w:val="001C6729"/>
    <w:pPr>
      <w:spacing w:after="240" w:line="240" w:lineRule="auto"/>
      <w:jc w:val="both"/>
    </w:pPr>
    <w:rPr>
      <w:rFonts w:ascii="Arial" w:eastAsia="Times New Roman" w:hAnsi="Arial" w:cs="Times New Roman"/>
      <w:b/>
      <w:bCs/>
      <w:sz w:val="24"/>
      <w:szCs w:val="24"/>
      <w:lang w:val="en-GB" w:eastAsia="en-GB"/>
    </w:rPr>
  </w:style>
  <w:style w:type="paragraph" w:styleId="Odsekzoznamu">
    <w:name w:val="List Paragraph"/>
    <w:basedOn w:val="Normlny"/>
    <w:link w:val="OdsekzoznamuChar"/>
    <w:uiPriority w:val="34"/>
    <w:qFormat/>
    <w:rsid w:val="001C6729"/>
    <w:pPr>
      <w:spacing w:after="0" w:line="240" w:lineRule="auto"/>
      <w:ind w:left="720"/>
    </w:pPr>
    <w:rPr>
      <w:rFonts w:ascii="Calibri" w:eastAsia="Calibri" w:hAnsi="Calibri" w:cs="Times New Roman"/>
      <w:lang w:val="en-GB"/>
    </w:rPr>
  </w:style>
  <w:style w:type="character" w:customStyle="1" w:styleId="OdsekzoznamuChar">
    <w:name w:val="Odsek zoznamu Char"/>
    <w:link w:val="Odsekzoznamu"/>
    <w:uiPriority w:val="34"/>
    <w:locked/>
    <w:rsid w:val="001C6729"/>
    <w:rPr>
      <w:rFonts w:ascii="Calibri" w:eastAsia="Calibri" w:hAnsi="Calibri" w:cs="Times New Roman"/>
      <w:lang w:val="en-GB"/>
    </w:rPr>
  </w:style>
  <w:style w:type="paragraph" w:styleId="Textbubliny">
    <w:name w:val="Balloon Text"/>
    <w:basedOn w:val="Normlny"/>
    <w:link w:val="TextbublinyChar"/>
    <w:uiPriority w:val="99"/>
    <w:semiHidden/>
    <w:unhideWhenUsed/>
    <w:rsid w:val="001C6729"/>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1C67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337</Words>
  <Characters>1923</Characters>
  <Application>Microsoft Office Word</Application>
  <DocSecurity>0</DocSecurity>
  <Lines>16</Lines>
  <Paragraphs>4</Paragraphs>
  <ScaleCrop>false</ScaleCrop>
  <HeadingPairs>
    <vt:vector size="2" baseType="variant">
      <vt:variant>
        <vt:lpstr>Názov</vt:lpstr>
      </vt:variant>
      <vt:variant>
        <vt:i4>1</vt:i4>
      </vt:variant>
    </vt:vector>
  </HeadingPairs>
  <TitlesOfParts>
    <vt:vector size="1" baseType="lpstr">
      <vt:lpstr/>
    </vt:vector>
  </TitlesOfParts>
  <Company>ZSR-ZT</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Beáta Hermanská</dc:creator>
  <cp:keywords/>
  <dc:description/>
  <cp:lastModifiedBy>Hatinová Martina</cp:lastModifiedBy>
  <cp:revision>4</cp:revision>
  <cp:lastPrinted>2023-03-22T13:26:00Z</cp:lastPrinted>
  <dcterms:created xsi:type="dcterms:W3CDTF">2023-03-22T13:21:00Z</dcterms:created>
  <dcterms:modified xsi:type="dcterms:W3CDTF">2023-03-23T12:24:00Z</dcterms:modified>
</cp:coreProperties>
</file>