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2488E01B"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w:t>
      </w:r>
      <w:r w:rsidR="00F07503">
        <w:rPr>
          <w:rFonts w:ascii="Arial Narrow" w:eastAsia="Arial" w:hAnsi="Arial Narrow"/>
          <w:color w:val="4472C4" w:themeColor="accent1"/>
        </w:rPr>
        <w:t xml:space="preserve"> rozhodovaním alebo kontrolou v </w:t>
      </w:r>
      <w:r w:rsidRPr="000D1B43">
        <w:rPr>
          <w:rFonts w:ascii="Arial Narrow" w:eastAsia="Arial" w:hAnsi="Arial Narrow"/>
          <w:color w:val="4472C4" w:themeColor="accent1"/>
        </w:rPr>
        <w:t>hospodárskom subjekte, ktorý sa chce zúčastniť verejného obstarávani</w:t>
      </w:r>
      <w:r w:rsidR="00F07503">
        <w:rPr>
          <w:rFonts w:ascii="Arial Narrow" w:eastAsia="Arial" w:hAnsi="Arial Narrow"/>
          <w:color w:val="4472C4" w:themeColor="accent1"/>
        </w:rPr>
        <w:t>a. Takáto osoba je definovaná v </w:t>
      </w:r>
      <w:r w:rsidRPr="000D1B43">
        <w:rPr>
          <w:rFonts w:ascii="Arial Narrow" w:eastAsia="Arial" w:hAnsi="Arial Narrow"/>
          <w:color w:val="4472C4" w:themeColor="accent1"/>
        </w:rPr>
        <w:t>§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7FFA188B"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00F07503">
        <w:rPr>
          <w:rFonts w:ascii="Arial Narrow" w:hAnsi="Arial Narrow"/>
        </w:rPr>
        <w:t xml:space="preserve"> – prostredníctvom zápisu do </w:t>
      </w:r>
      <w:r w:rsidRPr="00755471">
        <w:rPr>
          <w:rFonts w:ascii="Arial Narrow" w:hAnsi="Arial Narrow"/>
        </w:rPr>
        <w:t>zoznamu hospodárskych subjektov</w:t>
      </w:r>
      <w:r w:rsidR="00F07503">
        <w:rPr>
          <w:rFonts w:ascii="Arial Narrow" w:hAnsi="Arial Narrow"/>
        </w:rPr>
        <w:t xml:space="preserve"> </w:t>
      </w:r>
      <w:r w:rsidR="00F07503">
        <w:rPr>
          <w:rStyle w:val="normaltextrun"/>
          <w:rFonts w:ascii="Arial Narrow" w:hAnsi="Arial Narrow"/>
          <w:color w:val="000000"/>
          <w:shd w:val="clear" w:color="auto" w:fill="FFFFFF"/>
        </w:rPr>
        <w:t>(čestné vyhlásenie podľa prílohy 6a sa predkladá vždy)</w:t>
      </w:r>
      <w:r w:rsidRPr="00755471">
        <w:rPr>
          <w:rFonts w:ascii="Arial Narrow" w:hAnsi="Arial Narrow"/>
        </w:rPr>
        <w:t xml:space="preserve">.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0A8F6E96"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AD5F3F">
        <w:rPr>
          <w:rFonts w:ascii="Arial Narrow" w:hAnsi="Arial Narrow"/>
          <w:b/>
          <w:lang w:eastAsia="sk-SK"/>
        </w:rPr>
        <w:t xml:space="preserve">poskytnutých služieb </w:t>
      </w:r>
      <w:r w:rsidR="00AD5F3F">
        <w:rPr>
          <w:rFonts w:ascii="Arial Narrow" w:hAnsi="Arial Narrow"/>
          <w:b/>
          <w:lang w:eastAsia="sk-SK"/>
        </w:rPr>
        <w:br/>
      </w:r>
      <w:r w:rsidRPr="008E2A79">
        <w:rPr>
          <w:rFonts w:ascii="Arial Narrow" w:hAnsi="Arial Narrow"/>
          <w:b/>
          <w:lang w:eastAsia="sk-SK"/>
        </w:rPr>
        <w:t>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sidR="00AD5F3F">
        <w:rPr>
          <w:rFonts w:ascii="Arial Narrow" w:hAnsi="Arial Narrow"/>
          <w:b/>
          <w:lang w:eastAsia="sk-SK"/>
        </w:rPr>
        <w:t xml:space="preserve"> </w:t>
      </w:r>
      <w:r>
        <w:rPr>
          <w:rFonts w:ascii="Arial Narrow" w:hAnsi="Arial Narrow"/>
          <w:b/>
          <w:lang w:eastAsia="sk-SK"/>
        </w:rP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w:t>
      </w:r>
      <w:r w:rsidRPr="00A579AE">
        <w:rPr>
          <w:rFonts w:ascii="Arial Narrow" w:hAnsi="Arial Narrow"/>
          <w:u w:val="single"/>
          <w:lang w:eastAsia="sk-SK"/>
        </w:rPr>
        <w:t>dokladom je referencia, ak odberateľom bol verejný obstarávateľ alebo obstarávateľ podľa zákona</w:t>
      </w:r>
      <w:r>
        <w:rPr>
          <w:rFonts w:ascii="Arial Narrow" w:hAnsi="Arial Narrow"/>
          <w:lang w:eastAsia="sk-SK"/>
        </w:rPr>
        <w:t>.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5535A85A" w14:textId="4424105E" w:rsidR="00534C67" w:rsidRDefault="00534C67" w:rsidP="00534C67">
      <w:pPr>
        <w:pStyle w:val="Odsekzoznamu"/>
        <w:spacing w:after="0" w:line="240" w:lineRule="auto"/>
        <w:ind w:left="0"/>
        <w:contextualSpacing w:val="0"/>
        <w:jc w:val="both"/>
        <w:rPr>
          <w:rFonts w:ascii="Arial Narrow" w:hAnsi="Arial Narrow"/>
          <w:b/>
          <w:lang w:eastAsia="sk-SK"/>
        </w:rPr>
      </w:pPr>
      <w:r w:rsidRPr="00540D10">
        <w:rPr>
          <w:rFonts w:ascii="Arial Narrow" w:hAnsi="Arial Narrow"/>
          <w:b/>
          <w:lang w:eastAsia="sk-SK"/>
        </w:rPr>
        <w:t xml:space="preserve">Verejný obstarávateľ požaduje predložiť minimálne 1 referenciu, </w:t>
      </w:r>
      <w:r w:rsidRPr="00F1331B">
        <w:rPr>
          <w:rFonts w:ascii="Arial Narrow" w:hAnsi="Arial Narrow"/>
          <w:b/>
          <w:lang w:eastAsia="sk-SK"/>
        </w:rPr>
        <w:t>t.j. písomné vyhlásenie</w:t>
      </w:r>
      <w:r w:rsidR="00F1331B">
        <w:rPr>
          <w:rFonts w:ascii="Arial Narrow" w:hAnsi="Arial Narrow"/>
          <w:b/>
          <w:lang w:eastAsia="sk-SK"/>
        </w:rPr>
        <w:t xml:space="preserve"> Uchádzača</w:t>
      </w:r>
      <w:r w:rsidRPr="00540D10">
        <w:rPr>
          <w:rFonts w:ascii="Arial Narrow" w:hAnsi="Arial Narrow"/>
          <w:b/>
          <w:lang w:eastAsia="sk-SK"/>
        </w:rPr>
        <w:t>, že ponúknutý produkt / riešenie je prevádzkované právo presadzujúcou autoritou, ktorá má sídlo v</w:t>
      </w:r>
      <w:r>
        <w:rPr>
          <w:rFonts w:ascii="Arial Narrow" w:hAnsi="Arial Narrow"/>
          <w:b/>
          <w:lang w:eastAsia="sk-SK"/>
        </w:rPr>
        <w:t> </w:t>
      </w:r>
      <w:r w:rsidRPr="00540D10">
        <w:rPr>
          <w:rFonts w:ascii="Arial Narrow" w:hAnsi="Arial Narrow"/>
          <w:b/>
          <w:lang w:eastAsia="sk-SK"/>
        </w:rPr>
        <w:t>Európ</w:t>
      </w:r>
      <w:r>
        <w:rPr>
          <w:rFonts w:ascii="Arial Narrow" w:hAnsi="Arial Narrow"/>
          <w:b/>
          <w:lang w:eastAsia="sk-SK"/>
        </w:rPr>
        <w:t>skej únii</w:t>
      </w:r>
      <w:r w:rsidRPr="00540D10">
        <w:rPr>
          <w:rFonts w:ascii="Arial Narrow" w:hAnsi="Arial Narrow"/>
          <w:b/>
          <w:lang w:eastAsia="sk-SK"/>
        </w:rPr>
        <w:t xml:space="preserve"> a spĺňa požiadavky na veľkosť a funkčnosť systému, ktorý je porovnateľný so systémom prevádzkovaným Ministerstvom vnútra Slovenskej republiky v rozsahu uvedenom v opise predmetu zákazky.</w:t>
      </w:r>
    </w:p>
    <w:p w14:paraId="0688625C" w14:textId="77777777" w:rsidR="00534C67" w:rsidRDefault="00534C67" w:rsidP="00534C67">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 údaje kontaktnej osoby (meno, telefón a email, adresa organizácie v tvare názov organizácie, ulica a popisné číslo domu, mesto, štát), u ktorej si verejný obstarávateľ bude môcť deklarované informácie overiť, pričom komunikačným jazykom bude angličtina.</w:t>
      </w:r>
    </w:p>
    <w:p w14:paraId="4914B461" w14:textId="247A8064" w:rsidR="007076DE" w:rsidRDefault="007076DE" w:rsidP="00B75B06">
      <w:pPr>
        <w:pStyle w:val="Odsekzoznamu"/>
        <w:spacing w:after="0" w:line="240" w:lineRule="auto"/>
        <w:ind w:left="0"/>
        <w:contextualSpacing w:val="0"/>
        <w:jc w:val="both"/>
        <w:rPr>
          <w:rFonts w:ascii="Arial Narrow" w:hAnsi="Arial Narrow"/>
          <w:bCs/>
          <w:lang w:eastAsia="sk-SK"/>
        </w:rPr>
      </w:pPr>
    </w:p>
    <w:p w14:paraId="66FBCAC4" w14:textId="0D281BEA" w:rsidR="00B75B06" w:rsidRDefault="00B75B06" w:rsidP="00B75B06">
      <w:pPr>
        <w:pStyle w:val="Odsekzoznamu"/>
        <w:spacing w:after="0" w:line="240" w:lineRule="auto"/>
        <w:ind w:left="0"/>
        <w:contextualSpacing w:val="0"/>
        <w:jc w:val="both"/>
        <w:rPr>
          <w:rFonts w:ascii="Arial Narrow" w:hAnsi="Arial Narrow"/>
          <w:bCs/>
          <w:lang w:eastAsia="sk-SK"/>
        </w:rPr>
      </w:pPr>
    </w:p>
    <w:p w14:paraId="1E89D061" w14:textId="77777777" w:rsidR="00B75B06" w:rsidRDefault="00B75B06" w:rsidP="00B75B06">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u w:val="single"/>
          <w:lang w:eastAsia="sk-SK"/>
        </w:rPr>
        <w:t>Odôvodnenie podmienky účasti</w:t>
      </w:r>
      <w:r w:rsidRPr="00540D10">
        <w:rPr>
          <w:rFonts w:ascii="Arial Narrow" w:hAnsi="Arial Narrow"/>
          <w:bCs/>
          <w:lang w:eastAsia="sk-SK"/>
        </w:rPr>
        <w:t xml:space="preserve"> </w:t>
      </w:r>
    </w:p>
    <w:p w14:paraId="280BD9AE" w14:textId="2D20F203" w:rsidR="00B75B06" w:rsidRPr="00540D10" w:rsidRDefault="00AB2CD8" w:rsidP="00B75B06">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MV SR prevádzkuje systém AFIS, ktorého databáza obsahuje 600tis. záznamov daktyloskopických kariet, 25tis. stôp prstov a dlaní a je používaný ako národný technický prístupový bod na komunikáciu a výmenu údajov s EU systémami prevádzkovanými Agentúrou na prevádzkové riadenie rozsiahlych informačných systémov v priestore slobody, bezpečnosti a spravodlivosti (euLISA) predovšetkým na výmenu údajov podľa Nariadenia Európskeho Parlamentu a Rady (EÚ) č. 603/2013 z 26. júna 2013 o zriadení systému Eurodac na porovnávanie odtlačkov prstov pre účinné uplatňovanie nariadenia (EÚ) č. 604/2013, ktorým sa usta</w:t>
      </w:r>
      <w:r w:rsidR="00AD5F3F">
        <w:rPr>
          <w:rFonts w:ascii="Arial Narrow" w:hAnsi="Arial Narrow"/>
          <w:bCs/>
          <w:lang w:eastAsia="sk-SK"/>
        </w:rPr>
        <w:t>novujú kritériá a mechanizmy na </w:t>
      </w:r>
      <w:r w:rsidRPr="00540D10">
        <w:rPr>
          <w:rFonts w:ascii="Arial Narrow" w:hAnsi="Arial Narrow"/>
          <w:bCs/>
          <w:lang w:eastAsia="sk-SK"/>
        </w:rPr>
        <w:t xml:space="preserve">určenie členského štátu zodpovedného za posúdenie žiadosti o medzinárodnú ochranu podanej štátnym príslušníkom tretej krajiny alebo osobou bez štátnej príslušnosti v jednom z členských štátov,  a o žiadostiach </w:t>
      </w:r>
      <w:r w:rsidRPr="00540D10">
        <w:rPr>
          <w:rFonts w:ascii="Arial Narrow" w:hAnsi="Arial Narrow"/>
          <w:bCs/>
          <w:lang w:eastAsia="sk-SK"/>
        </w:rPr>
        <w:lastRenderedPageBreak/>
        <w:t>orgánov práva a o zmene nariadenia (EÚ) č. 1077/2011, ktorým sa zriaďuje Európska agentúra na prevádzkované riadenie rozsiahlych informačných systémov v priestore slobody, bezpečnosti a spravodlivosti a ktorý komunikuje na národnej úrovni s technickým prístupovým bodom IS MIGRA a na EU  úrovni so systémom Eurodac, pričom technický spôsob komunikácie je upravený vo vyššie uvedenom nariadení a jeho vykonávajúcich technických predpisoch. Zároveň systém AFIS je aj národným technickým prístupovým bodom pre výmenu údajov podľa Rozhodnutí Rady (EÚ) 615/2008/SVV a 616/2008/SVV, t. z. Prumské rozhodnutia, v ktorých je uvedený spôsob komunikácie a výmena údajov aj z technického hľadiska a zároveň systém AFIS je súčasťou mobilnej daktyloskopickej identifikácie, pri ktorých zariadenia komunikujú s centrálnym systémom AFIS pomocou webových služieb.</w:t>
      </w:r>
    </w:p>
    <w:p w14:paraId="69AAA3C7" w14:textId="77777777" w:rsidR="00B75B06" w:rsidRDefault="00B75B06" w:rsidP="00B75B06">
      <w:pPr>
        <w:pStyle w:val="Odsekzoznamu"/>
        <w:spacing w:after="0" w:line="240" w:lineRule="auto"/>
        <w:ind w:left="0"/>
        <w:contextualSpacing w:val="0"/>
        <w:jc w:val="both"/>
        <w:rPr>
          <w:rFonts w:ascii="Arial Narrow" w:hAnsi="Arial Narrow"/>
          <w:b/>
          <w:lang w:eastAsia="sk-SK"/>
        </w:rPr>
      </w:pPr>
    </w:p>
    <w:p w14:paraId="5259F2A4" w14:textId="77777777" w:rsidR="00B75B06" w:rsidRDefault="00B75B06" w:rsidP="00B75B06">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6C3992D" w14:textId="0B57926E" w:rsidR="00B75B06" w:rsidRDefault="00B75B06" w:rsidP="00B75B06">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9992A27" w14:textId="630DD1E7" w:rsidR="00B75B06" w:rsidRDefault="00B75B06" w:rsidP="00B75B06">
      <w:pPr>
        <w:pStyle w:val="Odsekzoznamu"/>
        <w:spacing w:after="0" w:line="240" w:lineRule="auto"/>
        <w:ind w:left="0"/>
        <w:contextualSpacing w:val="0"/>
        <w:jc w:val="both"/>
        <w:rPr>
          <w:rFonts w:ascii="Arial Narrow" w:hAnsi="Arial Narrow"/>
          <w:lang w:eastAsia="sk-SK"/>
        </w:rPr>
      </w:pPr>
    </w:p>
    <w:p w14:paraId="5A191A01" w14:textId="12A7E03B" w:rsidR="00B75B06" w:rsidRPr="00B75B06" w:rsidRDefault="00B75B06" w:rsidP="00B75B06">
      <w:pPr>
        <w:spacing w:before="300" w:after="300" w:line="240" w:lineRule="auto"/>
        <w:ind w:left="426" w:hanging="426"/>
        <w:jc w:val="both"/>
        <w:rPr>
          <w:rFonts w:ascii="Arial Narrow" w:hAnsi="Arial Narrow"/>
          <w:lang w:eastAsia="sk-SK"/>
        </w:rPr>
      </w:pPr>
      <w:r>
        <w:rPr>
          <w:rFonts w:ascii="Arial Narrow" w:hAnsi="Arial Narrow"/>
          <w:lang w:eastAsia="sk-SK"/>
        </w:rPr>
        <w:t>3.2</w:t>
      </w:r>
      <w:r>
        <w:rPr>
          <w:rFonts w:ascii="Arial Narrow" w:hAnsi="Arial Narrow"/>
          <w:lang w:eastAsia="sk-SK"/>
        </w:rPr>
        <w:tab/>
      </w:r>
      <w:r w:rsidRPr="00B75B06">
        <w:rPr>
          <w:rFonts w:ascii="Arial Narrow" w:hAnsi="Arial Narrow"/>
          <w:lang w:eastAsia="sk-SK"/>
        </w:rPr>
        <w:t xml:space="preserve">Podmienky účasti uchádzačov týkajúce sa technickej alebo odbornej spôsobilosti podľa </w:t>
      </w:r>
      <w:r w:rsidRPr="00B75B06">
        <w:rPr>
          <w:rFonts w:ascii="Arial Narrow" w:hAnsi="Arial Narrow"/>
          <w:b/>
          <w:lang w:eastAsia="sk-SK"/>
        </w:rPr>
        <w:t xml:space="preserve">§ 34 ods. 1 písm. d) </w:t>
      </w:r>
      <w:r w:rsidR="00AD5F3F">
        <w:rPr>
          <w:rFonts w:ascii="Arial Narrow" w:hAnsi="Arial Narrow"/>
          <w:b/>
          <w:lang w:eastAsia="sk-SK"/>
        </w:rPr>
        <w:t xml:space="preserve">v spojení s § 35 </w:t>
      </w:r>
      <w:r w:rsidRPr="00B75B06">
        <w:rPr>
          <w:rFonts w:ascii="Arial Narrow" w:hAnsi="Arial Narrow"/>
          <w:b/>
          <w:lang w:eastAsia="sk-SK"/>
        </w:rPr>
        <w:t>zákona</w:t>
      </w:r>
      <w:r w:rsidRPr="00B75B06">
        <w:rPr>
          <w:rFonts w:ascii="Arial Narrow" w:hAnsi="Arial Narrow"/>
          <w:lang w:eastAsia="sk-SK"/>
        </w:rPr>
        <w:t>:</w:t>
      </w:r>
    </w:p>
    <w:p w14:paraId="10078802" w14:textId="3B9239B3" w:rsidR="00B75B06" w:rsidRDefault="00AD5F3F" w:rsidP="00B75B06">
      <w:pPr>
        <w:spacing w:after="0" w:line="240" w:lineRule="auto"/>
        <w:ind w:left="360"/>
        <w:jc w:val="both"/>
        <w:rPr>
          <w:rFonts w:ascii="Arial Narrow" w:hAnsi="Arial Narrow"/>
        </w:rPr>
      </w:pPr>
      <w:r>
        <w:rPr>
          <w:rFonts w:ascii="Arial Narrow" w:hAnsi="Arial Narrow"/>
          <w:lang w:eastAsia="sk-SK"/>
        </w:rPr>
        <w:t>Verejný obstarávateľ požaduje p</w:t>
      </w:r>
      <w:r w:rsidR="00B75B06" w:rsidRPr="00957863">
        <w:rPr>
          <w:rFonts w:ascii="Arial Narrow" w:hAnsi="Arial Narrow"/>
          <w:lang w:eastAsia="sk-SK"/>
        </w:rPr>
        <w:t>redložiť originál alebo úradne osvedčenú kópiu platného certifikátu</w:t>
      </w:r>
      <w:r w:rsidR="00B75B06" w:rsidRPr="00957863">
        <w:rPr>
          <w:rFonts w:ascii="Arial Narrow" w:hAnsi="Arial Narrow"/>
        </w:rPr>
        <w:t xml:space="preserve"> potvrdzujúceho splnenie prvkov medzinárodnej normy ohľadom </w:t>
      </w:r>
      <w:r w:rsidR="00B75B06" w:rsidRPr="00E55B71">
        <w:rPr>
          <w:rFonts w:ascii="Arial Narrow" w:hAnsi="Arial Narrow"/>
        </w:rPr>
        <w:t xml:space="preserve">informačnej bezpečnosti </w:t>
      </w:r>
      <w:r w:rsidR="00B75B06" w:rsidRPr="00E55B71">
        <w:rPr>
          <w:rFonts w:ascii="Arial Narrow" w:hAnsi="Arial Narrow"/>
          <w:b/>
        </w:rPr>
        <w:t>ISO/IEC 27001</w:t>
      </w:r>
      <w:r w:rsidR="00B75B06" w:rsidRPr="00E55B71">
        <w:rPr>
          <w:rFonts w:ascii="Arial Narrow" w:hAnsi="Arial Narrow"/>
        </w:rPr>
        <w:t xml:space="preserve"> </w:t>
      </w:r>
      <w:r w:rsidR="00B75B06">
        <w:rPr>
          <w:rFonts w:ascii="Arial Narrow" w:hAnsi="Arial Narrow"/>
        </w:rPr>
        <w:t xml:space="preserve"> v oblasti predmetu zákazky </w:t>
      </w:r>
      <w:r w:rsidR="00B75B06" w:rsidRPr="00E55B71">
        <w:rPr>
          <w:rFonts w:ascii="Arial Narrow" w:hAnsi="Arial Narrow"/>
        </w:rPr>
        <w:t>alebo ekvivalent.</w:t>
      </w:r>
    </w:p>
    <w:p w14:paraId="0BF980EF" w14:textId="77777777" w:rsidR="00B75B06" w:rsidRDefault="00B75B06" w:rsidP="00B75B06">
      <w:pPr>
        <w:spacing w:after="0" w:line="240" w:lineRule="auto"/>
        <w:ind w:left="360"/>
        <w:jc w:val="both"/>
        <w:rPr>
          <w:rFonts w:ascii="Arial Narrow" w:hAnsi="Arial Narrow"/>
        </w:rPr>
      </w:pPr>
    </w:p>
    <w:p w14:paraId="4826419F" w14:textId="5640B1A6" w:rsidR="00B75B06" w:rsidRDefault="00B75B06" w:rsidP="00AD5F3F">
      <w:pPr>
        <w:spacing w:before="300" w:after="300" w:line="240" w:lineRule="auto"/>
        <w:ind w:left="426" w:hanging="426"/>
        <w:jc w:val="both"/>
        <w:rPr>
          <w:rFonts w:ascii="Times New Roman" w:hAnsi="Times New Roman"/>
          <w:sz w:val="24"/>
          <w:szCs w:val="24"/>
        </w:rPr>
      </w:pPr>
      <w:r>
        <w:rPr>
          <w:rFonts w:ascii="Arial Narrow" w:hAnsi="Arial Narrow"/>
          <w:lang w:eastAsia="sk-SK"/>
        </w:rPr>
        <w:t>3.3.</w:t>
      </w:r>
      <w:r>
        <w:rPr>
          <w:rFonts w:ascii="Arial Narrow" w:hAnsi="Arial Narrow"/>
          <w:lang w:eastAsia="sk-SK"/>
        </w:rPr>
        <w:tab/>
      </w:r>
      <w:r w:rsidRPr="00B75B06">
        <w:rPr>
          <w:rFonts w:ascii="Arial Narrow" w:hAnsi="Arial Narrow"/>
          <w:lang w:eastAsia="sk-SK"/>
        </w:rPr>
        <w:t xml:space="preserve">Podmienky účasti uchádzačov týkajúce sa technickej alebo odbornej spôsobilosti podľa </w:t>
      </w:r>
      <w:r w:rsidRPr="00B75B06">
        <w:rPr>
          <w:rFonts w:ascii="Arial Narrow" w:hAnsi="Arial Narrow"/>
          <w:b/>
          <w:lang w:eastAsia="sk-SK"/>
        </w:rPr>
        <w:t>§ 34 ods. 1 písm. g) zákona</w:t>
      </w:r>
      <w:r w:rsidRPr="00B75B06">
        <w:rPr>
          <w:rFonts w:ascii="Arial Narrow" w:hAnsi="Arial Narrow"/>
          <w:lang w:eastAsia="sk-SK"/>
        </w:rPr>
        <w:t>:</w:t>
      </w:r>
    </w:p>
    <w:p w14:paraId="7EB0479A" w14:textId="77777777" w:rsidR="00B75B06" w:rsidRPr="00DD5F80" w:rsidRDefault="00B75B06" w:rsidP="00B75B06">
      <w:pPr>
        <w:pStyle w:val="Odsekzoznamu"/>
        <w:spacing w:line="240" w:lineRule="auto"/>
        <w:ind w:left="426"/>
        <w:jc w:val="both"/>
        <w:rPr>
          <w:rFonts w:ascii="Arial Narrow" w:hAnsi="Arial Narrow"/>
        </w:rPr>
      </w:pPr>
      <w:r w:rsidRPr="00DD5F80">
        <w:rPr>
          <w:rFonts w:ascii="Arial Narrow" w:hAnsi="Arial Narrow"/>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14:paraId="4BB7CCCA" w14:textId="77777777" w:rsidR="00B75B06" w:rsidRPr="00E55B71" w:rsidRDefault="00B75B06" w:rsidP="00B75B06">
      <w:pPr>
        <w:spacing w:after="0" w:line="240" w:lineRule="auto"/>
        <w:ind w:left="426"/>
        <w:jc w:val="both"/>
        <w:rPr>
          <w:rFonts w:ascii="Arial Narrow" w:hAnsi="Arial Narrow"/>
        </w:rPr>
      </w:pPr>
      <w:r w:rsidRPr="00E55B71">
        <w:rPr>
          <w:rFonts w:ascii="Arial Narrow" w:hAnsi="Arial Narrow"/>
        </w:rPr>
        <w:t>Uchádzač vyššie uvedeným spôsobom preukáže splnenie nasledovných minimálnych požiadaviek na 3 kľúčových expertov.</w:t>
      </w:r>
    </w:p>
    <w:p w14:paraId="774EBEA6" w14:textId="77777777" w:rsidR="00AB2CD8" w:rsidRPr="00E55B71" w:rsidRDefault="00AB2CD8" w:rsidP="00AB2CD8">
      <w:pPr>
        <w:pStyle w:val="Odsekzoznamu"/>
        <w:numPr>
          <w:ilvl w:val="0"/>
          <w:numId w:val="20"/>
        </w:numPr>
        <w:spacing w:after="0" w:line="240" w:lineRule="auto"/>
        <w:ind w:left="851" w:hanging="425"/>
        <w:jc w:val="both"/>
        <w:rPr>
          <w:rFonts w:ascii="Arial Narrow" w:hAnsi="Arial Narrow"/>
        </w:rPr>
      </w:pPr>
      <w:r w:rsidRPr="00E55B71">
        <w:rPr>
          <w:rFonts w:ascii="Arial Narrow" w:hAnsi="Arial Narrow"/>
        </w:rPr>
        <w:t>so špecializáciou systémový špecialista automatizovaného biometrického systému ABIS</w:t>
      </w:r>
      <w:bookmarkStart w:id="0" w:name="_GoBack"/>
      <w:bookmarkEnd w:id="0"/>
      <w:r w:rsidRPr="00E55B71">
        <w:rPr>
          <w:rFonts w:ascii="Arial Narrow" w:hAnsi="Arial Narrow"/>
        </w:rPr>
        <w:t xml:space="preserve">/administrácia ABIS ktorý uchádzač ponúka, databázový špecialista, špecialista na migráciu biometrických dát, IT analytik, špecialista na integrácie, ktorý budú spĺňať a preukážu nasledovné základné požiadavky: </w:t>
      </w:r>
    </w:p>
    <w:p w14:paraId="22F4E23D" w14:textId="77777777" w:rsidR="00AB2CD8" w:rsidRPr="00E55B71" w:rsidRDefault="00AB2CD8" w:rsidP="00AB2CD8">
      <w:pPr>
        <w:pStyle w:val="Odsekzoznamu"/>
        <w:spacing w:after="0" w:line="240" w:lineRule="auto"/>
        <w:ind w:left="851"/>
        <w:jc w:val="both"/>
        <w:rPr>
          <w:rFonts w:ascii="Arial Narrow" w:hAnsi="Arial Narrow"/>
        </w:rPr>
      </w:pPr>
    </w:p>
    <w:p w14:paraId="2798026C" w14:textId="77777777" w:rsidR="00AB2CD8" w:rsidRPr="00E55B71" w:rsidRDefault="00AB2CD8" w:rsidP="00AB2CD8">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systémový špecialista; túto požiadavku záujemca preukáže podpísaným životopisom alebo ekvivalentným dokladom, </w:t>
      </w:r>
    </w:p>
    <w:p w14:paraId="0DA1AEEC" w14:textId="77777777" w:rsidR="00AB2CD8" w:rsidRPr="00E55B71" w:rsidRDefault="00AB2CD8" w:rsidP="00AB2CD8">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v oblasti správy databáz, ktoré sú súčasťou ponúknutého riešenia; túto požiadavku záujemca preukáže podpísaným životopisom alebo ekvivalentným dokladom, </w:t>
      </w:r>
    </w:p>
    <w:p w14:paraId="0EC0445E" w14:textId="77777777" w:rsidR="00AB2CD8" w:rsidRPr="00E55B71" w:rsidRDefault="00AB2CD8" w:rsidP="00AB2CD8">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minimálne 3 roky odbornej praxe v oblasti IT analýzy/NIST špecialista; túto požiadavku záujemca preukáže podpísaným životopisom alebo ekvivalentným dokladom</w:t>
      </w:r>
    </w:p>
    <w:p w14:paraId="010B7935" w14:textId="77777777" w:rsidR="00AB2CD8" w:rsidRPr="00E55B71" w:rsidRDefault="00AB2CD8" w:rsidP="00AB2CD8">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v oblasti integrácie ABIS s externými systémami (web service, mail), túto požiadavku záujemca preukáže podpísaným životopisom alebo ekvivalentným dokladom, </w:t>
      </w:r>
    </w:p>
    <w:p w14:paraId="170B37AD" w14:textId="73BC4D42" w:rsidR="00B75B06" w:rsidRPr="00957863" w:rsidRDefault="00AB2CD8" w:rsidP="00AB2CD8">
      <w:pPr>
        <w:spacing w:before="300" w:after="300" w:line="240" w:lineRule="auto"/>
        <w:ind w:left="426"/>
        <w:jc w:val="both"/>
        <w:rPr>
          <w:rFonts w:ascii="Arial Narrow" w:hAnsi="Arial Narrow"/>
          <w:lang w:eastAsia="sk-SK"/>
        </w:rPr>
      </w:pPr>
      <w:r w:rsidRPr="00E55B71">
        <w:rPr>
          <w:rFonts w:ascii="Arial Narrow" w:hAnsi="Arial Narrow"/>
        </w:rPr>
        <w:t xml:space="preserve">Nie je potrebné, aby každý kľúčový expert splnil všetky požiadavky bodov a) až d). </w:t>
      </w:r>
      <w:r w:rsidR="00AD5F3F">
        <w:rPr>
          <w:rFonts w:ascii="Arial Narrow" w:hAnsi="Arial Narrow"/>
        </w:rPr>
        <w:t>Verejný o</w:t>
      </w:r>
      <w:r w:rsidRPr="00E55B71">
        <w:rPr>
          <w:rFonts w:ascii="Arial Narrow" w:hAnsi="Arial Narrow"/>
        </w:rPr>
        <w:t>bstarávateľ požaduje</w:t>
      </w:r>
      <w:r w:rsidRPr="00DD5F80">
        <w:rPr>
          <w:rFonts w:ascii="Arial Narrow" w:hAnsi="Arial Narrow"/>
        </w:rPr>
        <w:t xml:space="preserve">, aby minimálne 3 kľúčoví experti spolu pokryli všetky </w:t>
      </w:r>
      <w:r>
        <w:rPr>
          <w:rFonts w:ascii="Arial Narrow" w:hAnsi="Arial Narrow"/>
        </w:rPr>
        <w:t>4</w:t>
      </w:r>
      <w:r w:rsidRPr="00DD5F80">
        <w:rPr>
          <w:rFonts w:ascii="Arial Narrow" w:hAnsi="Arial Narrow"/>
        </w:rPr>
        <w:t xml:space="preserve"> požiadavky a) až d).</w:t>
      </w:r>
    </w:p>
    <w:p w14:paraId="243A6C2D" w14:textId="77777777" w:rsidR="00B75B06" w:rsidRDefault="00B75B06" w:rsidP="00B75B06">
      <w:pPr>
        <w:pStyle w:val="Odsekzoznamu"/>
        <w:spacing w:after="0" w:line="240" w:lineRule="auto"/>
        <w:ind w:left="0"/>
        <w:contextualSpacing w:val="0"/>
        <w:jc w:val="both"/>
        <w:rPr>
          <w:rFonts w:ascii="Arial Narrow" w:hAnsi="Arial Narrow"/>
          <w:b/>
          <w:lang w:eastAsia="sk-SK"/>
        </w:rPr>
      </w:pPr>
    </w:p>
    <w:p w14:paraId="320A401D" w14:textId="574F35EE" w:rsidR="007076DE" w:rsidRPr="00B75B06" w:rsidRDefault="007076DE" w:rsidP="00B75B06">
      <w:pPr>
        <w:spacing w:before="300" w:after="300" w:line="240" w:lineRule="auto"/>
        <w:rPr>
          <w:rFonts w:ascii="Arial Narrow" w:hAnsi="Arial Narrow"/>
          <w:b/>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lastRenderedPageBreak/>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D1070" w14:textId="77777777" w:rsidR="0041352E" w:rsidRDefault="0041352E" w:rsidP="00CF3803">
      <w:pPr>
        <w:spacing w:after="0" w:line="240" w:lineRule="auto"/>
      </w:pPr>
      <w:r>
        <w:separator/>
      </w:r>
    </w:p>
  </w:endnote>
  <w:endnote w:type="continuationSeparator" w:id="0">
    <w:p w14:paraId="4F628144" w14:textId="77777777" w:rsidR="0041352E" w:rsidRDefault="0041352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872CD89" w:rsidR="00AF7F2F" w:rsidRDefault="00AF7F2F">
        <w:pPr>
          <w:pStyle w:val="Pta"/>
          <w:jc w:val="center"/>
        </w:pPr>
        <w:r>
          <w:fldChar w:fldCharType="begin"/>
        </w:r>
        <w:r>
          <w:instrText>PAGE   \* MERGEFORMAT</w:instrText>
        </w:r>
        <w:r>
          <w:fldChar w:fldCharType="separate"/>
        </w:r>
        <w:r w:rsidR="00F1331B">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29FE" w14:textId="77777777" w:rsidR="0041352E" w:rsidRDefault="0041352E" w:rsidP="00CF3803">
      <w:pPr>
        <w:spacing w:after="0" w:line="240" w:lineRule="auto"/>
      </w:pPr>
      <w:r>
        <w:separator/>
      </w:r>
    </w:p>
  </w:footnote>
  <w:footnote w:type="continuationSeparator" w:id="0">
    <w:p w14:paraId="0356DDC9" w14:textId="77777777" w:rsidR="0041352E" w:rsidRDefault="0041352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1E6C877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r w:rsidR="00AB2CD8">
      <w:rPr>
        <w:rFonts w:ascii="Arial Narrow" w:hAnsi="Arial Narrow"/>
        <w:sz w:val="18"/>
        <w:szCs w:val="18"/>
      </w:rPr>
      <w:t xml:space="preserve"> – podmienky účasti</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E7D3200"/>
    <w:multiLevelType w:val="hybridMultilevel"/>
    <w:tmpl w:val="543C0C64"/>
    <w:lvl w:ilvl="0" w:tplc="B2EE02B6">
      <w:start w:val="6"/>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1"/>
  </w:num>
  <w:num w:numId="4">
    <w:abstractNumId w:val="16"/>
  </w:num>
  <w:num w:numId="5">
    <w:abstractNumId w:val="12"/>
  </w:num>
  <w:num w:numId="6">
    <w:abstractNumId w:val="6"/>
  </w:num>
  <w:num w:numId="7">
    <w:abstractNumId w:val="1"/>
  </w:num>
  <w:num w:numId="8">
    <w:abstractNumId w:val="14"/>
  </w:num>
  <w:num w:numId="9">
    <w:abstractNumId w:val="19"/>
  </w:num>
  <w:num w:numId="10">
    <w:abstractNumId w:val="7"/>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60FD"/>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7DDA"/>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352E"/>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34C67"/>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6627F"/>
    <w:rsid w:val="00673D9A"/>
    <w:rsid w:val="00696C21"/>
    <w:rsid w:val="006A3A63"/>
    <w:rsid w:val="006A4B61"/>
    <w:rsid w:val="006A6933"/>
    <w:rsid w:val="006B5ED7"/>
    <w:rsid w:val="006C0C32"/>
    <w:rsid w:val="006C4BA1"/>
    <w:rsid w:val="006C70A1"/>
    <w:rsid w:val="006F0353"/>
    <w:rsid w:val="006F2010"/>
    <w:rsid w:val="0070402F"/>
    <w:rsid w:val="007045D3"/>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579AE"/>
    <w:rsid w:val="00A63431"/>
    <w:rsid w:val="00A73047"/>
    <w:rsid w:val="00A75414"/>
    <w:rsid w:val="00A77AEB"/>
    <w:rsid w:val="00AA1C02"/>
    <w:rsid w:val="00AA250D"/>
    <w:rsid w:val="00AA26B7"/>
    <w:rsid w:val="00AA7BE0"/>
    <w:rsid w:val="00AB2CD8"/>
    <w:rsid w:val="00AC4256"/>
    <w:rsid w:val="00AD0B8C"/>
    <w:rsid w:val="00AD5F3F"/>
    <w:rsid w:val="00AE2E11"/>
    <w:rsid w:val="00AF7F2F"/>
    <w:rsid w:val="00B022C3"/>
    <w:rsid w:val="00B108B4"/>
    <w:rsid w:val="00B12131"/>
    <w:rsid w:val="00B20C76"/>
    <w:rsid w:val="00B33A50"/>
    <w:rsid w:val="00B5148B"/>
    <w:rsid w:val="00B54D1E"/>
    <w:rsid w:val="00B74202"/>
    <w:rsid w:val="00B75725"/>
    <w:rsid w:val="00B75B06"/>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07503"/>
    <w:rsid w:val="00F1331B"/>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5D18"/>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F0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2f8cdeaf-f28a-4b27-9cb0-1672fcefe82f"/>
    <ds:schemaRef ds:uri="http://schemas.microsoft.com/office/infopath/2007/PartnerControls"/>
    <ds:schemaRef ds:uri="7f1e6478-e63a-4581-a2ca-9ffdcf0e0623"/>
    <ds:schemaRef ds:uri="http://purl.org/dc/dcmitype/"/>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4096F401-13F9-46EF-9DA8-26679870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2372</Words>
  <Characters>14747</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Kundrát</cp:lastModifiedBy>
  <cp:revision>3</cp:revision>
  <cp:lastPrinted>2022-01-18T07:35:00Z</cp:lastPrinted>
  <dcterms:created xsi:type="dcterms:W3CDTF">2025-05-13T10:35:00Z</dcterms:created>
  <dcterms:modified xsi:type="dcterms:W3CDTF">2025-05-19T12:40:00Z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