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24F3EC10"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p w14:paraId="3CB3DD32" w14:textId="77777777" w:rsidR="00584C2E" w:rsidRDefault="00584C2E" w:rsidP="00584C2E">
            <w:pPr>
              <w:ind w:left="34"/>
              <w:jc w:val="both"/>
              <w:rPr>
                <w:rFonts w:ascii="Arial Narrow" w:hAnsi="Arial Narrow"/>
                <w:b/>
                <w:snapToGrid w:val="0"/>
                <w:u w:val="single"/>
                <w:lang w:eastAsia="cs-CZ"/>
              </w:rPr>
            </w:pP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6441D380" w14:textId="77777777" w:rsidR="00B1127D" w:rsidRDefault="00B1127D" w:rsidP="00B1127D">
      <w:pPr>
        <w:rPr>
          <w:rFonts w:ascii="Arial Narrow" w:hAnsi="Arial Narrow"/>
          <w:b/>
          <w:snapToGrid w:val="0"/>
          <w:u w:val="single"/>
          <w:lang w:eastAsia="cs-CZ"/>
        </w:rPr>
      </w:pPr>
    </w:p>
    <w:p w14:paraId="4C5BC298" w14:textId="77777777" w:rsidR="00C26C0B" w:rsidRDefault="00C26C0B" w:rsidP="00B1127D">
      <w:pPr>
        <w:rPr>
          <w:rFonts w:ascii="Arial Narrow" w:hAnsi="Arial Narrow"/>
          <w:b/>
          <w:snapToGrid w:val="0"/>
          <w:u w:val="single"/>
          <w:lang w:eastAsia="cs-CZ"/>
        </w:rPr>
      </w:pPr>
    </w:p>
    <w:p w14:paraId="77452D0A" w14:textId="77777777" w:rsidR="00C26C0B" w:rsidRDefault="00C26C0B" w:rsidP="00B1127D">
      <w:pPr>
        <w:rPr>
          <w:rFonts w:ascii="Arial Narrow" w:hAnsi="Arial Narrow"/>
          <w:b/>
          <w:snapToGrid w:val="0"/>
          <w:u w:val="single"/>
          <w:lang w:eastAsia="cs-CZ"/>
        </w:rPr>
      </w:pPr>
    </w:p>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93251D9" w14:textId="77777777" w:rsidR="00C26C0B" w:rsidRPr="00C26C0B" w:rsidRDefault="00C26C0B" w:rsidP="006D1CA9">
            <w:pPr>
              <w:jc w:val="right"/>
              <w:rPr>
                <w:rFonts w:ascii="Arial Narrow" w:hAnsi="Arial Narrow"/>
              </w:rPr>
            </w:pPr>
            <w:r w:rsidRPr="00C26C0B">
              <w:rPr>
                <w:rFonts w:ascii="Arial Narrow" w:hAnsi="Arial Narrow"/>
                <w:sz w:val="22"/>
                <w:szCs w:val="22"/>
              </w:rPr>
              <w:lastRenderedPageBreak/>
              <w:t>10.</w:t>
            </w:r>
          </w:p>
        </w:tc>
        <w:tc>
          <w:tcPr>
            <w:tcW w:w="3119" w:type="dxa"/>
            <w:tcBorders>
              <w:top w:val="single" w:sz="4" w:space="0" w:color="auto"/>
              <w:left w:val="single" w:sz="4" w:space="0" w:color="auto"/>
              <w:bottom w:val="single" w:sz="4" w:space="0" w:color="auto"/>
              <w:right w:val="single" w:sz="4" w:space="0" w:color="auto"/>
            </w:tcBorders>
            <w:vAlign w:val="center"/>
          </w:tcPr>
          <w:p w14:paraId="0A7AB56C" w14:textId="77777777"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AE13406" w14:textId="77777777"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0C95BE2C" w14:textId="77777777"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67AD585A" w14:textId="77777777" w:rsidR="00C26C0B" w:rsidRPr="00C26C0B" w:rsidRDefault="00C26C0B" w:rsidP="006D1CA9">
            <w:pPr>
              <w:jc w:val="both"/>
              <w:rPr>
                <w:rFonts w:ascii="Arial Narrow" w:hAnsi="Arial Narrow"/>
              </w:rPr>
            </w:pPr>
            <w:r w:rsidRPr="00C26C0B">
              <w:rPr>
                <w:rFonts w:ascii="Arial Narrow" w:hAnsi="Arial Narrow"/>
                <w:sz w:val="22"/>
                <w:szCs w:val="22"/>
              </w:rPr>
              <w:t>STN 93 0021 čl. 5.1</w:t>
            </w:r>
          </w:p>
        </w:tc>
        <w:tc>
          <w:tcPr>
            <w:tcW w:w="2126" w:type="dxa"/>
            <w:tcBorders>
              <w:top w:val="single" w:sz="4" w:space="0" w:color="auto"/>
              <w:left w:val="single" w:sz="4" w:space="0" w:color="auto"/>
              <w:bottom w:val="single" w:sz="4" w:space="0" w:color="auto"/>
              <w:right w:val="single" w:sz="4" w:space="0" w:color="auto"/>
            </w:tcBorders>
          </w:tcPr>
          <w:p w14:paraId="002361A5" w14:textId="77777777"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34D38BC1" w14:textId="2C2D56EA"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77777777" w:rsidR="007145C9" w:rsidRDefault="007145C9" w:rsidP="007145C9">
      <w:pPr>
        <w:pStyle w:val="Odsekzoznamu"/>
        <w:ind w:left="450"/>
        <w:rPr>
          <w:rFonts w:ascii="Arial Narrow" w:hAnsi="Arial Narrow"/>
          <w:b/>
          <w:snapToGrid w:val="0"/>
          <w:u w:val="single"/>
          <w:lang w:eastAsia="cs-CZ"/>
        </w:rPr>
      </w:pP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C475B5">
        <w:trPr>
          <w:trHeight w:val="2302"/>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2DAB6B2"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6B9F8EC6"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p w14:paraId="6335200A" w14:textId="77777777" w:rsidR="00C26C0B" w:rsidRDefault="00C26C0B" w:rsidP="006D1CA9">
            <w:pPr>
              <w:ind w:left="34"/>
              <w:jc w:val="both"/>
              <w:rPr>
                <w:rFonts w:ascii="Arial Narrow" w:hAnsi="Arial Narrow"/>
                <w:b/>
                <w:snapToGrid w:val="0"/>
                <w:u w:val="single"/>
                <w:lang w:eastAsia="cs-CZ"/>
              </w:rPr>
            </w:pP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1F458A02" w14:textId="77777777" w:rsidR="00C26C0B" w:rsidRDefault="00C26C0B" w:rsidP="00517ECC">
      <w:pPr>
        <w:rPr>
          <w:rFonts w:ascii="Arial Narrow" w:hAnsi="Arial Narrow"/>
          <w:b/>
          <w:snapToGrid w:val="0"/>
          <w:u w:val="single"/>
          <w:lang w:eastAsia="cs-CZ"/>
        </w:rPr>
      </w:pPr>
    </w:p>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7D4A77F0" w14:textId="77777777"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2CE838D6" w14:textId="77777777" w:rsidR="00C475B5" w:rsidRPr="00C475B5" w:rsidRDefault="00C475B5" w:rsidP="00C475B5">
            <w:pPr>
              <w:rPr>
                <w:rFonts w:ascii="Arial Narrow" w:hAnsi="Arial Narrow"/>
              </w:rPr>
            </w:pP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77777777"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5F0DF6CF" w14:textId="77777777"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AC26377" w14:textId="77777777"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0E6EB31C" w14:textId="77777777"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47D9FBC8" w14:textId="77777777" w:rsidR="00C475B5" w:rsidRPr="00C475B5" w:rsidRDefault="00C475B5" w:rsidP="00C475B5">
            <w:pPr>
              <w:jc w:val="both"/>
              <w:rPr>
                <w:rFonts w:ascii="Arial Narrow" w:hAnsi="Arial Narrow"/>
              </w:rPr>
            </w:pPr>
            <w:r w:rsidRPr="00C475B5">
              <w:rPr>
                <w:rFonts w:ascii="Arial Narrow" w:hAnsi="Arial Narrow"/>
                <w:sz w:val="22"/>
                <w:szCs w:val="22"/>
              </w:rPr>
              <w:t>STN 93 0021 čl. 5.1</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2A1F3CE9" w14:textId="77777777" w:rsidR="00C26C0B" w:rsidRDefault="00C26C0B" w:rsidP="007145C9">
      <w:pPr>
        <w:pStyle w:val="Odsekzoznamu"/>
        <w:ind w:left="450"/>
        <w:rPr>
          <w:rFonts w:ascii="Arial Narrow" w:hAnsi="Arial Narrow"/>
          <w:b/>
          <w:snapToGrid w:val="0"/>
          <w:u w:val="single"/>
          <w:lang w:eastAsia="cs-CZ"/>
        </w:rPr>
      </w:pPr>
    </w:p>
    <w:p w14:paraId="0B707D9B" w14:textId="77777777" w:rsidR="00C26C0B" w:rsidRDefault="00C26C0B" w:rsidP="007145C9">
      <w:pPr>
        <w:pStyle w:val="Odsekzoznamu"/>
        <w:ind w:left="450"/>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288B06D1" w14:textId="6C64D5C7"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78915544" w14:textId="77777777" w:rsidR="001D6B11" w:rsidRDefault="001D6B11" w:rsidP="007145C9">
      <w:pPr>
        <w:pStyle w:val="Odsekzoznamu"/>
        <w:ind w:left="450"/>
        <w:rPr>
          <w:rFonts w:ascii="Arial Narrow" w:hAnsi="Arial Narrow"/>
          <w:b/>
          <w:snapToGrid w:val="0"/>
          <w:u w:val="single"/>
          <w:lang w:eastAsia="cs-CZ"/>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350797B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hrúbky 0,6 – 0,8 mm, líc prírodný nekorigovaný. Rukavice  sú päťprstové, so vsadzovaným palcom v dlani, šité vnútorným švom. Na dlaňovej aj chrbtovej časti sú strihané samostatne, sú zošité na strane malíčku a ukazováku. Na </w:t>
            </w:r>
            <w:r w:rsidRPr="00C475B5">
              <w:rPr>
                <w:rFonts w:ascii="Arial Narrow" w:hAnsi="Arial Narrow"/>
                <w:sz w:val="22"/>
                <w:szCs w:val="22"/>
              </w:rPr>
              <w:lastRenderedPageBreak/>
              <w:t xml:space="preserve">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4DFC12E0" w14:textId="77777777" w:rsidR="00C26C0B" w:rsidRDefault="00C26C0B" w:rsidP="007145C9">
      <w:pPr>
        <w:pStyle w:val="Odsekzoznamu"/>
        <w:ind w:left="450"/>
        <w:rPr>
          <w:rFonts w:ascii="Arial Narrow" w:hAnsi="Arial Narrow"/>
          <w:b/>
          <w:snapToGrid w:val="0"/>
          <w:u w:val="single"/>
          <w:lang w:eastAsia="cs-CZ"/>
        </w:rPr>
      </w:pPr>
    </w:p>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694AC778" w14:textId="77777777" w:rsidR="00FD76DC" w:rsidRDefault="00FD76DC" w:rsidP="00C475B5">
      <w:pPr>
        <w:ind w:firstLine="567"/>
        <w:jc w:val="both"/>
        <w:rPr>
          <w:sz w:val="22"/>
          <w:szCs w:val="22"/>
        </w:rPr>
      </w:pPr>
    </w:p>
    <w:p w14:paraId="74D338EE" w14:textId="77777777" w:rsidR="00FD76DC" w:rsidRPr="003251BA" w:rsidRDefault="00FD76DC" w:rsidP="00C475B5">
      <w:pPr>
        <w:ind w:firstLine="567"/>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5F071635" w14:textId="77777777"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2DEBD89B" w14:textId="77777777"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4BE1749F"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2343C816" w14:textId="77777777" w:rsidR="00FD76DC" w:rsidRPr="00FD76DC" w:rsidRDefault="00FD76DC" w:rsidP="006D1CA9">
            <w:pPr>
              <w:jc w:val="both"/>
              <w:rPr>
                <w:rFonts w:ascii="Arial Narrow" w:hAnsi="Arial Narrow"/>
              </w:rPr>
            </w:pPr>
            <w:r w:rsidRPr="00FD76DC">
              <w:rPr>
                <w:rFonts w:ascii="Arial Narrow" w:hAnsi="Arial Narrow"/>
                <w:sz w:val="22"/>
                <w:szCs w:val="22"/>
              </w:rPr>
              <w:t xml:space="preserve">min  21,5 N </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82C74B0" w14:textId="77777777" w:rsidR="00FD76DC" w:rsidRPr="00FD76DC" w:rsidRDefault="00FD76DC" w:rsidP="006D1CA9">
            <w:pPr>
              <w:tabs>
                <w:tab w:val="left" w:pos="1206"/>
              </w:tabs>
              <w:rPr>
                <w:rFonts w:ascii="Arial Narrow" w:hAnsi="Arial Narrow"/>
              </w:rPr>
            </w:pPr>
            <w:r w:rsidRPr="00FD76DC">
              <w:rPr>
                <w:rFonts w:ascii="Arial Narrow" w:hAnsi="Arial Narrow"/>
                <w:sz w:val="22"/>
                <w:szCs w:val="22"/>
              </w:rPr>
              <w:t>STN EN ISO 13935-2</w:t>
            </w:r>
          </w:p>
        </w:tc>
        <w:tc>
          <w:tcPr>
            <w:tcW w:w="1984" w:type="dxa"/>
          </w:tcPr>
          <w:p w14:paraId="5C858DCE" w14:textId="77777777" w:rsidR="00FD76DC" w:rsidRPr="00FD76DC" w:rsidRDefault="00FD76DC" w:rsidP="006D1CA9">
            <w:pPr>
              <w:rPr>
                <w:rFonts w:ascii="Arial Narrow" w:hAnsi="Arial Narrow"/>
              </w:rPr>
            </w:pPr>
            <w:r w:rsidRPr="00FD76DC">
              <w:rPr>
                <w:rFonts w:ascii="Arial Narrow" w:hAnsi="Arial Narrow"/>
                <w:sz w:val="22"/>
                <w:szCs w:val="22"/>
              </w:rPr>
              <w:t>min 350 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Stálofarebnosť usní pri otere v cykle tam a </w:t>
            </w:r>
            <w:r w:rsidRPr="00FD76DC">
              <w:rPr>
                <w:rFonts w:ascii="Arial Narrow" w:hAnsi="Arial Narrow"/>
                <w:sz w:val="22"/>
                <w:szCs w:val="22"/>
              </w:rPr>
              <w:lastRenderedPageBreak/>
              <w:t>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lastRenderedPageBreak/>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lastRenderedPageBreak/>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77777777"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Pr="0053758F" w:rsidRDefault="00F20C2C"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lastRenderedPageBreak/>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77777777" w:rsidR="005B1D43" w:rsidRDefault="005B1D43" w:rsidP="004E440E">
      <w:pPr>
        <w:pStyle w:val="Odsekzoznamu"/>
        <w:numPr>
          <w:ilvl w:val="0"/>
          <w:numId w:val="19"/>
        </w:numPr>
        <w:ind w:left="851"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14:paraId="633E711D" w14:textId="77777777" w:rsidR="005B1D43" w:rsidRPr="004E440E" w:rsidRDefault="005B1D43" w:rsidP="004E440E">
      <w:pPr>
        <w:pStyle w:val="Odsekzoznamu"/>
        <w:numPr>
          <w:ilvl w:val="0"/>
          <w:numId w:val="19"/>
        </w:numPr>
        <w:ind w:left="851" w:hanging="142"/>
        <w:contextualSpacing w:val="0"/>
        <w:jc w:val="both"/>
        <w:rPr>
          <w:rFonts w:ascii="Arial Narrow" w:hAnsi="Arial Narrow"/>
          <w:sz w:val="22"/>
          <w:szCs w:val="22"/>
        </w:rPr>
      </w:pPr>
      <w:r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7B96119F" w14:textId="77777777" w:rsidR="00F04896" w:rsidRPr="00F04896" w:rsidRDefault="00F04896" w:rsidP="00F04896">
      <w:pPr>
        <w:rPr>
          <w:rFonts w:ascii="Arial Narrow" w:hAnsi="Arial Narrow"/>
          <w:sz w:val="22"/>
          <w:szCs w:val="22"/>
        </w:rPr>
      </w:pPr>
    </w:p>
    <w:p w14:paraId="472EEED5" w14:textId="77777777" w:rsidR="00F04896" w:rsidRPr="00F04896" w:rsidRDefault="00F04896" w:rsidP="00F04896">
      <w:pPr>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3EA0" w14:textId="77777777" w:rsidR="005849C3" w:rsidRDefault="005849C3" w:rsidP="008A39F7">
      <w:r>
        <w:separator/>
      </w:r>
    </w:p>
  </w:endnote>
  <w:endnote w:type="continuationSeparator" w:id="0">
    <w:p w14:paraId="13735913" w14:textId="77777777" w:rsidR="005849C3" w:rsidRDefault="005849C3" w:rsidP="008A39F7">
      <w:r>
        <w:continuationSeparator/>
      </w:r>
    </w:p>
  </w:endnote>
  <w:endnote w:type="continuationNotice" w:id="1">
    <w:p w14:paraId="1738F099" w14:textId="77777777" w:rsidR="005849C3" w:rsidRDefault="00584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F632" w14:textId="77777777" w:rsidR="005849C3" w:rsidRDefault="005849C3" w:rsidP="008A39F7">
      <w:r>
        <w:separator/>
      </w:r>
    </w:p>
  </w:footnote>
  <w:footnote w:type="continuationSeparator" w:id="0">
    <w:p w14:paraId="6A6A7A72" w14:textId="77777777" w:rsidR="005849C3" w:rsidRDefault="005849C3" w:rsidP="008A39F7">
      <w:r>
        <w:continuationSeparator/>
      </w:r>
    </w:p>
  </w:footnote>
  <w:footnote w:type="continuationNotice" w:id="1">
    <w:p w14:paraId="1ACDB63B" w14:textId="77777777" w:rsidR="005849C3" w:rsidRDefault="00584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8E3"/>
    <w:rsid w:val="001A0C87"/>
    <w:rsid w:val="001A23AA"/>
    <w:rsid w:val="001B392A"/>
    <w:rsid w:val="001C73AA"/>
    <w:rsid w:val="001D6B11"/>
    <w:rsid w:val="001E4B77"/>
    <w:rsid w:val="001F5B17"/>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40469"/>
    <w:rsid w:val="00453C07"/>
    <w:rsid w:val="0045551B"/>
    <w:rsid w:val="00461CC0"/>
    <w:rsid w:val="004655A8"/>
    <w:rsid w:val="004921F4"/>
    <w:rsid w:val="00495DF5"/>
    <w:rsid w:val="004A6723"/>
    <w:rsid w:val="004C152F"/>
    <w:rsid w:val="004C5B95"/>
    <w:rsid w:val="004C5CE4"/>
    <w:rsid w:val="004E440E"/>
    <w:rsid w:val="004F5D6D"/>
    <w:rsid w:val="00503B42"/>
    <w:rsid w:val="005058C5"/>
    <w:rsid w:val="00517AFE"/>
    <w:rsid w:val="00517ECC"/>
    <w:rsid w:val="00527F84"/>
    <w:rsid w:val="0053758F"/>
    <w:rsid w:val="005401C4"/>
    <w:rsid w:val="005427AD"/>
    <w:rsid w:val="00545499"/>
    <w:rsid w:val="005472FA"/>
    <w:rsid w:val="0056133A"/>
    <w:rsid w:val="005641B7"/>
    <w:rsid w:val="00566BAF"/>
    <w:rsid w:val="00567984"/>
    <w:rsid w:val="005849C3"/>
    <w:rsid w:val="00584C2E"/>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259A4"/>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82355"/>
    <w:rsid w:val="00984E2B"/>
    <w:rsid w:val="009A15C9"/>
    <w:rsid w:val="009A5FD0"/>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908DF"/>
    <w:rsid w:val="00A93A52"/>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44E4"/>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6096"/>
    <w:rsid w:val="00CF0C5B"/>
    <w:rsid w:val="00CF6D1D"/>
    <w:rsid w:val="00D05E5E"/>
    <w:rsid w:val="00D15EB5"/>
    <w:rsid w:val="00D25DBC"/>
    <w:rsid w:val="00D32847"/>
    <w:rsid w:val="00D36BA1"/>
    <w:rsid w:val="00D4168A"/>
    <w:rsid w:val="00D41D1D"/>
    <w:rsid w:val="00D437B9"/>
    <w:rsid w:val="00D456B1"/>
    <w:rsid w:val="00D504C1"/>
    <w:rsid w:val="00D50A6F"/>
    <w:rsid w:val="00D536B5"/>
    <w:rsid w:val="00D54327"/>
    <w:rsid w:val="00D552A8"/>
    <w:rsid w:val="00D611BA"/>
    <w:rsid w:val="00D61F98"/>
    <w:rsid w:val="00D66B10"/>
    <w:rsid w:val="00D7374A"/>
    <w:rsid w:val="00D74E6E"/>
    <w:rsid w:val="00D758BB"/>
    <w:rsid w:val="00D84A36"/>
    <w:rsid w:val="00D85A83"/>
    <w:rsid w:val="00D863AE"/>
    <w:rsid w:val="00DA1198"/>
    <w:rsid w:val="00DB31DF"/>
    <w:rsid w:val="00DC0247"/>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2235</Words>
  <Characters>12746</Characters>
  <Application>Microsoft Office Word</Application>
  <DocSecurity>0</DocSecurity>
  <Lines>106</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3</cp:revision>
  <cp:lastPrinted>2024-06-11T08:10:00Z</cp:lastPrinted>
  <dcterms:created xsi:type="dcterms:W3CDTF">2025-08-07T06:13:00Z</dcterms:created>
  <dcterms:modified xsi:type="dcterms:W3CDTF">2025-08-08T07:38:00Z</dcterms:modified>
</cp:coreProperties>
</file>