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1106FA3A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4795DACE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150EE260" w:rsidR="001D3D93" w:rsidRPr="006E3BAE" w:rsidRDefault="00F8685A" w:rsidP="00354F28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A75307" w:rsidRPr="00A75307">
        <w:rPr>
          <w:rFonts w:ascii="Times New Roman" w:hAnsi="Times New Roman"/>
          <w:bCs/>
          <w:i/>
          <w:noProof/>
          <w:sz w:val="24"/>
          <w:szCs w:val="24"/>
        </w:rPr>
        <w:t>Zabezpečenie podpory licencií Entrust pre IS Doklady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“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BF6F14">
        <w:rPr>
          <w:rFonts w:ascii="Times New Roman" w:hAnsi="Times New Roman"/>
          <w:bCs/>
          <w:i/>
          <w:noProof/>
          <w:sz w:val="24"/>
          <w:szCs w:val="24"/>
        </w:rPr>
        <w:t>36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4579ED12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F4AEE" w:rsidRPr="004259F3">
        <w:rPr>
          <w:rFonts w:ascii="Times New Roman" w:hAnsi="Times New Roman"/>
          <w:sz w:val="24"/>
          <w:szCs w:val="24"/>
        </w:rPr>
        <w:t xml:space="preserve">je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zabezpečenie </w:t>
      </w:r>
      <w:r w:rsidR="004675BB">
        <w:rPr>
          <w:rFonts w:ascii="Times New Roman" w:hAnsi="Times New Roman"/>
          <w:bCs/>
          <w:sz w:val="24"/>
          <w:szCs w:val="24"/>
        </w:rPr>
        <w:t xml:space="preserve">prevádzky informačného systému </w:t>
      </w:r>
      <w:r w:rsidR="00354F28">
        <w:rPr>
          <w:rFonts w:ascii="Times New Roman" w:hAnsi="Times New Roman"/>
          <w:bCs/>
          <w:sz w:val="24"/>
          <w:szCs w:val="24"/>
        </w:rPr>
        <w:t>IS Doklady</w:t>
      </w:r>
      <w:r w:rsidR="00CF4AEE" w:rsidRPr="004259F3">
        <w:rPr>
          <w:rFonts w:ascii="Times New Roman" w:hAnsi="Times New Roman"/>
          <w:sz w:val="24"/>
          <w:szCs w:val="24"/>
        </w:rPr>
        <w:t>“</w:t>
      </w:r>
      <w:r w:rsidR="00D111C1" w:rsidRPr="004259F3">
        <w:rPr>
          <w:rFonts w:ascii="Times New Roman" w:hAnsi="Times New Roman"/>
          <w:sz w:val="24"/>
          <w:szCs w:val="24"/>
        </w:rPr>
        <w:t xml:space="preserve"> uvedených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1B24A7D7" w:rsidR="00ED32EE" w:rsidRPr="00A753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75307">
        <w:rPr>
          <w:rFonts w:ascii="Times New Roman" w:hAnsi="Times New Roman"/>
          <w:sz w:val="24"/>
          <w:szCs w:val="24"/>
        </w:rPr>
        <w:t>Dodávateľ</w:t>
      </w:r>
      <w:r w:rsidR="00ED32EE" w:rsidRPr="00A75307">
        <w:rPr>
          <w:rFonts w:ascii="Times New Roman" w:hAnsi="Times New Roman"/>
          <w:sz w:val="24"/>
          <w:szCs w:val="24"/>
        </w:rPr>
        <w:t xml:space="preserve"> sa zaväzuje dodať </w:t>
      </w:r>
      <w:r w:rsidRPr="00A75307">
        <w:rPr>
          <w:rFonts w:ascii="Times New Roman" w:hAnsi="Times New Roman"/>
          <w:sz w:val="24"/>
          <w:szCs w:val="24"/>
        </w:rPr>
        <w:t>Objednávateľovi</w:t>
      </w:r>
      <w:r w:rsidR="00ED32EE" w:rsidRPr="00A75307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A75307">
        <w:rPr>
          <w:rFonts w:ascii="Times New Roman" w:hAnsi="Times New Roman"/>
          <w:sz w:val="24"/>
          <w:szCs w:val="24"/>
        </w:rPr>
        <w:t> </w:t>
      </w:r>
      <w:r w:rsidR="00ED32EE" w:rsidRPr="00A75307">
        <w:rPr>
          <w:rFonts w:ascii="Times New Roman" w:hAnsi="Times New Roman"/>
          <w:sz w:val="24"/>
          <w:szCs w:val="24"/>
        </w:rPr>
        <w:t>Prílohe</w:t>
      </w:r>
      <w:r w:rsidR="00965767" w:rsidRPr="00A75307">
        <w:rPr>
          <w:rFonts w:ascii="Times New Roman" w:hAnsi="Times New Roman"/>
          <w:sz w:val="24"/>
          <w:szCs w:val="24"/>
        </w:rPr>
        <w:t xml:space="preserve"> </w:t>
      </w:r>
      <w:r w:rsidR="00DB3E47" w:rsidRPr="00A75307">
        <w:rPr>
          <w:rFonts w:ascii="Times New Roman" w:hAnsi="Times New Roman"/>
          <w:sz w:val="24"/>
          <w:szCs w:val="24"/>
        </w:rPr>
        <w:t xml:space="preserve">do </w:t>
      </w:r>
      <w:r w:rsidR="00400949" w:rsidRPr="00A75307">
        <w:rPr>
          <w:rFonts w:ascii="Times New Roman" w:hAnsi="Times New Roman"/>
          <w:sz w:val="24"/>
          <w:szCs w:val="24"/>
        </w:rPr>
        <w:t>5</w:t>
      </w:r>
      <w:r w:rsidR="00DB3E47" w:rsidRPr="00A75307">
        <w:rPr>
          <w:rFonts w:ascii="Times New Roman" w:hAnsi="Times New Roman"/>
          <w:sz w:val="24"/>
          <w:szCs w:val="24"/>
        </w:rPr>
        <w:t xml:space="preserve"> kalendárnych dní od nadobudnutia účinnosti Zmluvy</w:t>
      </w:r>
      <w:r w:rsidR="00ED32EE" w:rsidRPr="00A75307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6AD7834B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A30ACD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100D92AE" w:rsidR="00410E6E" w:rsidRPr="00096247" w:rsidRDefault="00A30ACD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0ACD">
        <w:rPr>
          <w:rFonts w:ascii="Times New Roman" w:hAnsi="Times New Roman"/>
          <w:sz w:val="24"/>
          <w:szCs w:val="24"/>
        </w:rPr>
        <w:t xml:space="preserve">Dodávateľ je povinný doručiť Objednávateľovi faktúry podľa tohto článku v elektronickej forme na emailovú adresu Objednávateľa: </w:t>
      </w:r>
      <w:hyperlink r:id="rId9" w:history="1">
        <w:r w:rsidRPr="002A3927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30ACD">
        <w:rPr>
          <w:rFonts w:ascii="Times New Roman" w:hAnsi="Times New Roman"/>
          <w:sz w:val="24"/>
          <w:szCs w:val="24"/>
        </w:rPr>
        <w:t xml:space="preserve">, pričom Dodávateľ je povinný doručiť faktúru z nasledujúcej emailovej adresy: </w:t>
      </w:r>
      <w:r w:rsidRPr="00A30ACD">
        <w:rPr>
          <w:rFonts w:ascii="Times New Roman" w:hAnsi="Times New Roman"/>
          <w:i/>
          <w:iCs/>
          <w:color w:val="FF0000"/>
          <w:sz w:val="24"/>
          <w:szCs w:val="24"/>
        </w:rPr>
        <w:t>(emailovú adresu doplní dodávateľ pred podpisom zmluvy)</w:t>
      </w:r>
      <w:r w:rsidRPr="00A30ACD">
        <w:rPr>
          <w:rFonts w:ascii="Times New Roman" w:hAnsi="Times New Roman"/>
          <w:sz w:val="24"/>
          <w:szCs w:val="24"/>
        </w:rPr>
        <w:t xml:space="preserve">. Povinnou prílohou faktúry je </w:t>
      </w:r>
      <w:r w:rsidRPr="00A30ACD">
        <w:rPr>
          <w:rFonts w:ascii="Times New Roman" w:hAnsi="Times New Roman"/>
          <w:sz w:val="24"/>
          <w:szCs w:val="24"/>
        </w:rPr>
        <w:lastRenderedPageBreak/>
        <w:t>preskenovaný preberací protokol, na ktorom sú uvedené položky a ich cena, ktoré sú predmetom fakturácie.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3821"/>
        <w:gridCol w:w="1701"/>
        <w:gridCol w:w="1843"/>
        <w:gridCol w:w="1418"/>
        <w:gridCol w:w="2835"/>
      </w:tblGrid>
      <w:tr w:rsidR="000E0B6F" w:rsidRPr="00F93997" w14:paraId="0D895B96" w14:textId="77777777" w:rsidTr="00AD7C3D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0E0B6F" w:rsidRPr="00F93997" w:rsidRDefault="000E0B6F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07CD3E11" w:rsidR="000E0B6F" w:rsidRPr="00F93997" w:rsidRDefault="000E0B6F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Názov a o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pis požadovaného plnenia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4C47DD42" w:rsidR="000E0B6F" w:rsidRPr="00F93997" w:rsidRDefault="000E0B6F" w:rsidP="00FE6FC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2C1E1E66" w:rsidR="000E0B6F" w:rsidRPr="00F93997" w:rsidRDefault="000E0B6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0E0B6F" w:rsidRPr="00F93997" w:rsidRDefault="000E0B6F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6601D165" w:rsidR="000E0B6F" w:rsidRPr="00F93997" w:rsidRDefault="000E0B6F" w:rsidP="00FE2AFB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a 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potrebné zabezpečiť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0E0B6F" w:rsidRPr="00F93997" w14:paraId="2BDBD150" w14:textId="77777777" w:rsidTr="00AD7C3D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0E0B6F" w:rsidRPr="00F93997" w:rsidRDefault="000E0B6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9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2075DC3D" w14:textId="321634FD" w:rsidR="000E0B6F" w:rsidRPr="00130184" w:rsidRDefault="000E0B6F" w:rsidP="00672F1D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b/>
                <w:color w:val="000000"/>
              </w:rPr>
            </w:pPr>
            <w:r w:rsidRPr="00130184">
              <w:rPr>
                <w:rFonts w:ascii="Times New Roman" w:eastAsiaTheme="minorHAnsi" w:hAnsi="Times New Roman"/>
                <w:b/>
                <w:color w:val="000000"/>
              </w:rPr>
              <w:t>Podpora pre existujúce licencie ENTRUST AUTHORITY SECURITY MANAGER</w:t>
            </w:r>
            <w:r w:rsidRPr="00354F2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0E0B6F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- </w:t>
            </w:r>
            <w:r w:rsidRPr="000E0B6F">
              <w:rPr>
                <w:rFonts w:ascii="Times New Roman" w:eastAsiaTheme="minorHAnsi" w:hAnsi="Times New Roman"/>
                <w:b/>
                <w:bCs/>
                <w:color w:val="000000"/>
              </w:rPr>
              <w:t>PKI-EA-SM</w:t>
            </w:r>
          </w:p>
          <w:p w14:paraId="206F5830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 xml:space="preserve">Podpora pre existujúce licencie </w:t>
            </w:r>
            <w:proofErr w:type="spellStart"/>
            <w:r w:rsidRPr="00FE6FC4">
              <w:rPr>
                <w:rFonts w:ascii="Times New Roman" w:eastAsiaTheme="minorHAnsi" w:hAnsi="Times New Roman"/>
                <w:color w:val="000000"/>
              </w:rPr>
              <w:t>Entrust</w:t>
            </w:r>
            <w:proofErr w:type="spellEnd"/>
            <w:r w:rsidRPr="00FE6FC4">
              <w:rPr>
                <w:rFonts w:ascii="Times New Roman" w:eastAsiaTheme="minorHAnsi" w:hAnsi="Times New Roman"/>
                <w:color w:val="000000"/>
              </w:rPr>
              <w:t xml:space="preserve"> zahŕňa:</w:t>
            </w:r>
          </w:p>
          <w:p w14:paraId="6A96FFD4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1. Upgrade a aktualizácie softvéru</w:t>
            </w:r>
          </w:p>
          <w:p w14:paraId="3DE1526A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sprístupnenie všetkých aktualizácií a vydanie všeobecne dostupného softvéru bez dodatočných nákladov.</w:t>
            </w:r>
          </w:p>
          <w:p w14:paraId="082383A7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2. Formy podpory</w:t>
            </w:r>
          </w:p>
          <w:p w14:paraId="557E5AA9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a. Telefonická podpora:</w:t>
            </w:r>
          </w:p>
          <w:p w14:paraId="6B68D9B0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 xml:space="preserve">špecialista podpory telefonicky poskytne technickú podporu a diagnostiku. </w:t>
            </w:r>
          </w:p>
          <w:p w14:paraId="30741C0A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 xml:space="preserve">b. Podpora prostredníctvom stránok </w:t>
            </w:r>
            <w:proofErr w:type="spellStart"/>
            <w:r w:rsidRPr="00FE6FC4">
              <w:rPr>
                <w:rFonts w:ascii="Times New Roman" w:eastAsiaTheme="minorHAnsi" w:hAnsi="Times New Roman"/>
                <w:color w:val="000000"/>
              </w:rPr>
              <w:t>Entrust</w:t>
            </w:r>
            <w:proofErr w:type="spellEnd"/>
            <w:r w:rsidRPr="00FE6FC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FE6FC4">
              <w:rPr>
                <w:rFonts w:ascii="Times New Roman" w:eastAsiaTheme="minorHAnsi" w:hAnsi="Times New Roman"/>
                <w:color w:val="000000"/>
              </w:rPr>
              <w:t>Extranet</w:t>
            </w:r>
            <w:proofErr w:type="spellEnd"/>
            <w:r w:rsidRPr="00FE6FC4">
              <w:rPr>
                <w:rFonts w:ascii="Times New Roman" w:eastAsiaTheme="minorHAnsi" w:hAnsi="Times New Roman"/>
                <w:color w:val="000000"/>
              </w:rPr>
              <w:t xml:space="preserve"> Web</w:t>
            </w:r>
          </w:p>
          <w:p w14:paraId="71648312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FE6FC4">
              <w:rPr>
                <w:rFonts w:ascii="Times New Roman" w:eastAsiaTheme="minorHAnsi" w:hAnsi="Times New Roman"/>
                <w:color w:val="000000"/>
              </w:rPr>
              <w:t>Extranetová</w:t>
            </w:r>
            <w:proofErr w:type="spellEnd"/>
            <w:r w:rsidRPr="00FE6FC4">
              <w:rPr>
                <w:rFonts w:ascii="Times New Roman" w:eastAsiaTheme="minorHAnsi" w:hAnsi="Times New Roman"/>
                <w:color w:val="000000"/>
              </w:rPr>
              <w:t xml:space="preserve"> podpora zahŕňa:</w:t>
            </w:r>
          </w:p>
          <w:p w14:paraId="380548C5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i. prístup k technickým informáciám a informáciám špecifickým pre produkt vrátane, ale nie výlučne:</w:t>
            </w:r>
          </w:p>
          <w:p w14:paraId="3DC57187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- často kladené otázky;</w:t>
            </w:r>
          </w:p>
          <w:p w14:paraId="5AA11837" w14:textId="77777777" w:rsidR="000E0B6F" w:rsidRPr="00FE6FC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 xml:space="preserve">- </w:t>
            </w:r>
            <w:proofErr w:type="spellStart"/>
            <w:r w:rsidRPr="00FE6FC4">
              <w:rPr>
                <w:rFonts w:ascii="Times New Roman" w:eastAsiaTheme="minorHAnsi" w:hAnsi="Times New Roman"/>
                <w:color w:val="000000"/>
              </w:rPr>
              <w:t>prehľadateľná</w:t>
            </w:r>
            <w:proofErr w:type="spellEnd"/>
            <w:r w:rsidRPr="00FE6FC4">
              <w:rPr>
                <w:rFonts w:ascii="Times New Roman" w:eastAsiaTheme="minorHAnsi" w:hAnsi="Times New Roman"/>
                <w:color w:val="000000"/>
              </w:rPr>
              <w:t xml:space="preserve"> vedomostná základňa, ktorá poskytuje možnosti vlastnej diagnostiky a riešenia.</w:t>
            </w:r>
          </w:p>
          <w:p w14:paraId="5B44871B" w14:textId="712ADD74" w:rsidR="000E0B6F" w:rsidRPr="001E6E64" w:rsidRDefault="000E0B6F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FE6FC4">
              <w:rPr>
                <w:rFonts w:ascii="Times New Roman" w:eastAsiaTheme="minorHAnsi" w:hAnsi="Times New Roman"/>
                <w:color w:val="000000"/>
              </w:rPr>
              <w:t>ii.</w:t>
            </w:r>
            <w:proofErr w:type="spellEnd"/>
            <w:r w:rsidRPr="00FE6FC4">
              <w:rPr>
                <w:rFonts w:ascii="Times New Roman" w:eastAsiaTheme="minorHAnsi" w:hAnsi="Times New Roman"/>
                <w:color w:val="000000"/>
              </w:rPr>
              <w:t xml:space="preserve"> on-line vytváranie a aktualizácia požiadaviek na podporu.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3951" w14:textId="4C94FC9F" w:rsidR="000E0B6F" w:rsidRDefault="000E0B6F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od 01.06.2025</w:t>
            </w:r>
          </w:p>
          <w:p w14:paraId="6EFFEACD" w14:textId="0C21FB02" w:rsidR="000E0B6F" w:rsidRPr="00F93997" w:rsidRDefault="000E0B6F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do 31.05.2027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757AEE12" w:rsidR="000E0B6F" w:rsidRPr="00F93997" w:rsidRDefault="000E0B6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0E0B6F" w:rsidRPr="00F93997" w:rsidRDefault="000E0B6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0E0B6F" w:rsidRPr="00F93997" w:rsidRDefault="000E0B6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E0B6F" w:rsidRPr="00F93997" w14:paraId="29D7B5EF" w14:textId="77777777" w:rsidTr="00AD7C3D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9C6B" w14:textId="6D5002D5" w:rsidR="000E0B6F" w:rsidRPr="00F93997" w:rsidRDefault="000E0B6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2A0E9640" w14:textId="699C8DE5" w:rsidR="000E0B6F" w:rsidRPr="000E0B6F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130184">
              <w:rPr>
                <w:rFonts w:ascii="Times New Roman" w:hAnsi="Times New Roman"/>
                <w:b/>
                <w:color w:val="000000"/>
                <w:lang w:eastAsia="sk-SK"/>
              </w:rPr>
              <w:t xml:space="preserve">Podpora pre existujúce licencie EA INSPECTION SYSTEMS USER CAL FOR EPASSPORT </w:t>
            </w:r>
            <w:proofErr w:type="spellStart"/>
            <w:r w:rsidRPr="00130184">
              <w:rPr>
                <w:rFonts w:ascii="Times New Roman" w:hAnsi="Times New Roman"/>
                <w:b/>
                <w:color w:val="000000"/>
                <w:lang w:eastAsia="sk-SK"/>
              </w:rPr>
              <w:t>Entrust</w:t>
            </w:r>
            <w:proofErr w:type="spellEnd"/>
            <w:r w:rsidRPr="00130184">
              <w:rPr>
                <w:rFonts w:ascii="Times New Roman" w:hAnsi="Times New Roman"/>
                <w:b/>
                <w:color w:val="000000"/>
                <w:lang w:eastAsia="sk-SK"/>
              </w:rPr>
              <w:t xml:space="preserve"> </w:t>
            </w:r>
            <w:proofErr w:type="spellStart"/>
            <w:r w:rsidRPr="00130184">
              <w:rPr>
                <w:rFonts w:ascii="Times New Roman" w:hAnsi="Times New Roman"/>
                <w:b/>
                <w:color w:val="000000"/>
                <w:lang w:eastAsia="sk-SK"/>
              </w:rPr>
              <w:t>Authority</w:t>
            </w:r>
            <w:proofErr w:type="spellEnd"/>
            <w:r w:rsidRPr="00130184">
              <w:rPr>
                <w:rFonts w:ascii="Times New Roman" w:hAnsi="Times New Roman"/>
                <w:b/>
                <w:color w:val="000000"/>
                <w:lang w:eastAsia="sk-SK"/>
              </w:rPr>
              <w:t xml:space="preserve"> EAC </w:t>
            </w:r>
            <w:proofErr w:type="spellStart"/>
            <w:r w:rsidRPr="00130184">
              <w:rPr>
                <w:rFonts w:ascii="Times New Roman" w:hAnsi="Times New Roman"/>
                <w:b/>
                <w:color w:val="000000"/>
                <w:lang w:eastAsia="sk-SK"/>
              </w:rPr>
              <w:t>Client</w:t>
            </w:r>
            <w:proofErr w:type="spellEnd"/>
            <w:r w:rsidRPr="00130184">
              <w:rPr>
                <w:rFonts w:ascii="Times New Roman" w:hAnsi="Times New Roman"/>
                <w:b/>
                <w:color w:val="000000"/>
                <w:lang w:eastAsia="sk-SK"/>
              </w:rPr>
              <w:t xml:space="preserve"> </w:t>
            </w:r>
            <w:r w:rsidRPr="000E0B6F">
              <w:rPr>
                <w:rFonts w:ascii="Times New Roman" w:hAnsi="Times New Roman"/>
                <w:b/>
                <w:color w:val="000000"/>
                <w:lang w:eastAsia="sk-SK"/>
              </w:rPr>
              <w:t xml:space="preserve">2X - </w:t>
            </w:r>
            <w:r w:rsidRPr="000E0B6F">
              <w:rPr>
                <w:rFonts w:ascii="Times New Roman" w:hAnsi="Times New Roman"/>
                <w:b/>
                <w:color w:val="000000"/>
                <w:lang w:eastAsia="sk-SK"/>
              </w:rPr>
              <w:t>LIC-ID-INS-PASS</w:t>
            </w:r>
          </w:p>
          <w:p w14:paraId="7B6DF877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Podpora pre existujúce licencie </w:t>
            </w:r>
            <w:proofErr w:type="spellStart"/>
            <w:r w:rsidRPr="00FE6FC4">
              <w:rPr>
                <w:rFonts w:ascii="Times New Roman" w:hAnsi="Times New Roman"/>
                <w:color w:val="000000"/>
                <w:lang w:eastAsia="sk-SK"/>
              </w:rPr>
              <w:t>Entrust</w:t>
            </w:r>
            <w:proofErr w:type="spellEnd"/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 zahŕňa:</w:t>
            </w:r>
          </w:p>
          <w:p w14:paraId="44E1F05B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1. Upgrade a aktualizácie softvéru</w:t>
            </w:r>
          </w:p>
          <w:p w14:paraId="2ACEA81B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sprístupnenie všetkých aktualizácií a vydanie všeobecne dostupného softvéru bez dodatočných nákladov.</w:t>
            </w:r>
          </w:p>
          <w:p w14:paraId="5513CD81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2. Formy podpory</w:t>
            </w:r>
          </w:p>
          <w:p w14:paraId="73BFA274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a. Telefonická podpora:</w:t>
            </w:r>
          </w:p>
          <w:p w14:paraId="19C83F1E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špecialista podpory telefonicky poskytne technickú podporu a diagnostiku. </w:t>
            </w:r>
          </w:p>
          <w:p w14:paraId="322A28DB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b. Podpora prostredníctvom stránok </w:t>
            </w:r>
            <w:proofErr w:type="spellStart"/>
            <w:r w:rsidRPr="00FE6FC4">
              <w:rPr>
                <w:rFonts w:ascii="Times New Roman" w:hAnsi="Times New Roman"/>
                <w:color w:val="000000"/>
                <w:lang w:eastAsia="sk-SK"/>
              </w:rPr>
              <w:t>Entrust</w:t>
            </w:r>
            <w:proofErr w:type="spellEnd"/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FE6FC4">
              <w:rPr>
                <w:rFonts w:ascii="Times New Roman" w:hAnsi="Times New Roman"/>
                <w:color w:val="000000"/>
                <w:lang w:eastAsia="sk-SK"/>
              </w:rPr>
              <w:t>Extranet</w:t>
            </w:r>
            <w:proofErr w:type="spellEnd"/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 Web</w:t>
            </w:r>
          </w:p>
          <w:p w14:paraId="166E33ED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proofErr w:type="spellStart"/>
            <w:r w:rsidRPr="00FE6FC4">
              <w:rPr>
                <w:rFonts w:ascii="Times New Roman" w:hAnsi="Times New Roman"/>
                <w:color w:val="000000"/>
                <w:lang w:eastAsia="sk-SK"/>
              </w:rPr>
              <w:t>Extranetová</w:t>
            </w:r>
            <w:proofErr w:type="spellEnd"/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 podpora zahŕňa:</w:t>
            </w:r>
          </w:p>
          <w:p w14:paraId="1CCAC0D3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i. prístup k technickým informáciám a informáciám špecifickým pre produkt vrátane, ale nie výlučne:</w:t>
            </w:r>
          </w:p>
          <w:p w14:paraId="29541B32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- často kladené otázky;</w:t>
            </w:r>
          </w:p>
          <w:p w14:paraId="1AA41E04" w14:textId="77777777" w:rsidR="000E0B6F" w:rsidRPr="00FE6FC4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- </w:t>
            </w:r>
            <w:proofErr w:type="spellStart"/>
            <w:r w:rsidRPr="00FE6FC4">
              <w:rPr>
                <w:rFonts w:ascii="Times New Roman" w:hAnsi="Times New Roman"/>
                <w:color w:val="000000"/>
                <w:lang w:eastAsia="sk-SK"/>
              </w:rPr>
              <w:t>prehľadateľná</w:t>
            </w:r>
            <w:proofErr w:type="spellEnd"/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 vedomostná základňa, ktorá poskytuje možnosti vlastnej diagnostiky a riešenia.</w:t>
            </w:r>
          </w:p>
          <w:p w14:paraId="0F5D474D" w14:textId="77777777" w:rsidR="000E0B6F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proofErr w:type="spellStart"/>
            <w:r w:rsidRPr="00FE6FC4">
              <w:rPr>
                <w:rFonts w:ascii="Times New Roman" w:hAnsi="Times New Roman"/>
                <w:color w:val="000000"/>
                <w:lang w:eastAsia="sk-SK"/>
              </w:rPr>
              <w:t>ii.</w:t>
            </w:r>
            <w:proofErr w:type="spellEnd"/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 on-line vytváranie a aktualizácia požiadaviek na podporu.</w:t>
            </w:r>
          </w:p>
          <w:p w14:paraId="4955538D" w14:textId="77777777" w:rsidR="000E0B6F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</w:p>
          <w:p w14:paraId="5FFB83D8" w14:textId="519B2E8A" w:rsidR="000E0B6F" w:rsidRPr="00FE2AFB" w:rsidRDefault="000E0B6F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51C5B" w14:textId="4093BB00" w:rsidR="000E0B6F" w:rsidRPr="00FE6FC4" w:rsidRDefault="000E0B6F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od 01.06.202</w:t>
            </w:r>
            <w:r>
              <w:rPr>
                <w:rFonts w:ascii="Times New Roman" w:eastAsiaTheme="minorHAnsi" w:hAnsi="Times New Roman"/>
                <w:color w:val="000000"/>
              </w:rPr>
              <w:t>5</w:t>
            </w:r>
          </w:p>
          <w:p w14:paraId="4EFDE08A" w14:textId="209397DC" w:rsidR="000E0B6F" w:rsidRPr="00F93997" w:rsidRDefault="000E0B6F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do 31.05.202</w:t>
            </w:r>
            <w:r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FD9F" w14:textId="7D756675" w:rsidR="000E0B6F" w:rsidRPr="00F93997" w:rsidRDefault="000E0B6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7C2" w14:textId="77777777" w:rsidR="000E0B6F" w:rsidRPr="00F93997" w:rsidRDefault="000E0B6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EDB" w14:textId="77777777" w:rsidR="000E0B6F" w:rsidRPr="00F93997" w:rsidRDefault="000E0B6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E0B6F" w:rsidRPr="00F93997" w14:paraId="08EF7CA5" w14:textId="77777777" w:rsidTr="00AD7C3D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4FC4" w14:textId="0491BEE2" w:rsidR="000E0B6F" w:rsidRPr="00F93997" w:rsidRDefault="000E0B6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3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09AABCF5" w14:textId="399CDEE0" w:rsidR="000E0B6F" w:rsidRPr="0089238D" w:rsidRDefault="000E0B6F" w:rsidP="0089238D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  <w:b/>
              </w:rPr>
            </w:pPr>
            <w:r w:rsidRPr="00130184">
              <w:rPr>
                <w:rFonts w:ascii="Times New Roman" w:eastAsiaTheme="minorHAnsi" w:hAnsi="Times New Roman"/>
                <w:b/>
              </w:rPr>
              <w:t>Podpora pre existujúce licencie ENTRUST ENTELLIGENCE ENTERPRISE USER LIMIT zahŕňa X509 pre 100 užívateľov</w:t>
            </w:r>
            <w:r>
              <w:t xml:space="preserve"> </w:t>
            </w:r>
            <w:r w:rsidRPr="0089238D">
              <w:rPr>
                <w:rFonts w:ascii="Times New Roman" w:eastAsiaTheme="minorHAnsi" w:hAnsi="Times New Roman"/>
                <w:b/>
              </w:rPr>
              <w:t>LIC-ENTRPRISE</w:t>
            </w:r>
          </w:p>
          <w:p w14:paraId="0898D2AD" w14:textId="761FB62D" w:rsidR="000E0B6F" w:rsidRPr="00130184" w:rsidRDefault="000E0B6F" w:rsidP="0089238D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  <w:b/>
              </w:rPr>
            </w:pPr>
            <w:r w:rsidRPr="0089238D">
              <w:rPr>
                <w:rFonts w:ascii="Times New Roman" w:eastAsiaTheme="minorHAnsi" w:hAnsi="Times New Roman"/>
                <w:b/>
              </w:rPr>
              <w:t>USER-ID-LIMIT</w:t>
            </w:r>
          </w:p>
          <w:p w14:paraId="02B33D76" w14:textId="64D91CC5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 xml:space="preserve">Podpora pre existujúce licencie </w:t>
            </w:r>
            <w:proofErr w:type="spellStart"/>
            <w:r w:rsidRPr="00130184">
              <w:rPr>
                <w:rFonts w:ascii="Times New Roman" w:eastAsiaTheme="minorHAnsi" w:hAnsi="Times New Roman"/>
              </w:rPr>
              <w:t>Entrust</w:t>
            </w:r>
            <w:proofErr w:type="spellEnd"/>
            <w:r w:rsidRPr="00130184">
              <w:rPr>
                <w:rFonts w:ascii="Times New Roman" w:eastAsiaTheme="minorHAnsi" w:hAnsi="Times New Roman"/>
              </w:rPr>
              <w:t xml:space="preserve"> zahŕňa:</w:t>
            </w:r>
          </w:p>
          <w:p w14:paraId="314992FD" w14:textId="77777777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1. Upgrade a aktualizácie softvéru</w:t>
            </w:r>
          </w:p>
          <w:p w14:paraId="6E98B373" w14:textId="77777777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sprístupnenie všetkých aktualizácií a vydanie všeobecne dostupného softvéru bez dodatočných nákladov.</w:t>
            </w:r>
          </w:p>
          <w:p w14:paraId="732934D1" w14:textId="77777777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2. Formy podpory</w:t>
            </w:r>
          </w:p>
          <w:p w14:paraId="0EDC2174" w14:textId="77777777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a. Telefonická podpora:</w:t>
            </w:r>
          </w:p>
          <w:p w14:paraId="2DFC056E" w14:textId="77777777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 xml:space="preserve">špecialista podpory telefonicky poskytne technickú podporu a diagnostiku. </w:t>
            </w:r>
          </w:p>
          <w:p w14:paraId="38691FD5" w14:textId="77777777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 xml:space="preserve">b. Podpora prostredníctvom stránok </w:t>
            </w:r>
            <w:proofErr w:type="spellStart"/>
            <w:r w:rsidRPr="00130184">
              <w:rPr>
                <w:rFonts w:ascii="Times New Roman" w:eastAsiaTheme="minorHAnsi" w:hAnsi="Times New Roman"/>
              </w:rPr>
              <w:t>Entrust</w:t>
            </w:r>
            <w:proofErr w:type="spellEnd"/>
            <w:r w:rsidRPr="00130184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130184">
              <w:rPr>
                <w:rFonts w:ascii="Times New Roman" w:eastAsiaTheme="minorHAnsi" w:hAnsi="Times New Roman"/>
              </w:rPr>
              <w:t>Extranet</w:t>
            </w:r>
            <w:proofErr w:type="spellEnd"/>
            <w:r w:rsidRPr="00130184">
              <w:rPr>
                <w:rFonts w:ascii="Times New Roman" w:eastAsiaTheme="minorHAnsi" w:hAnsi="Times New Roman"/>
              </w:rPr>
              <w:t xml:space="preserve"> Web</w:t>
            </w:r>
          </w:p>
          <w:p w14:paraId="33F7042C" w14:textId="77777777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130184">
              <w:rPr>
                <w:rFonts w:ascii="Times New Roman" w:eastAsiaTheme="minorHAnsi" w:hAnsi="Times New Roman"/>
              </w:rPr>
              <w:t>Extranetová</w:t>
            </w:r>
            <w:proofErr w:type="spellEnd"/>
            <w:r w:rsidRPr="00130184">
              <w:rPr>
                <w:rFonts w:ascii="Times New Roman" w:eastAsiaTheme="minorHAnsi" w:hAnsi="Times New Roman"/>
              </w:rPr>
              <w:t xml:space="preserve"> podpora zahŕňa:</w:t>
            </w:r>
          </w:p>
          <w:p w14:paraId="2667E500" w14:textId="77777777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i. prístup k technickým informáciám a informáciám špecifickým pre produkt vrátane, ale nie výlučne:</w:t>
            </w:r>
          </w:p>
          <w:p w14:paraId="7AC902BE" w14:textId="77777777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- často kladené otázky;</w:t>
            </w:r>
          </w:p>
          <w:p w14:paraId="0C7B39BF" w14:textId="77777777" w:rsidR="000E0B6F" w:rsidRPr="00130184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 xml:space="preserve">- </w:t>
            </w:r>
            <w:proofErr w:type="spellStart"/>
            <w:r w:rsidRPr="00130184">
              <w:rPr>
                <w:rFonts w:ascii="Times New Roman" w:eastAsiaTheme="minorHAnsi" w:hAnsi="Times New Roman"/>
              </w:rPr>
              <w:t>prehľadateľná</w:t>
            </w:r>
            <w:proofErr w:type="spellEnd"/>
            <w:r w:rsidRPr="00130184">
              <w:rPr>
                <w:rFonts w:ascii="Times New Roman" w:eastAsiaTheme="minorHAnsi" w:hAnsi="Times New Roman"/>
              </w:rPr>
              <w:t xml:space="preserve"> vedomostná základňa, ktorá poskytuje možnosti vlastnej diagnostiky a riešenia.</w:t>
            </w:r>
          </w:p>
          <w:p w14:paraId="55760D9C" w14:textId="6E631EA3" w:rsidR="000E0B6F" w:rsidRPr="0096326E" w:rsidRDefault="000E0B6F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130184">
              <w:rPr>
                <w:rFonts w:ascii="Times New Roman" w:eastAsiaTheme="minorHAnsi" w:hAnsi="Times New Roman"/>
                <w:spacing w:val="4"/>
              </w:rPr>
              <w:t>ii.</w:t>
            </w:r>
            <w:proofErr w:type="spellEnd"/>
            <w:r w:rsidRPr="00130184">
              <w:rPr>
                <w:rFonts w:ascii="Times New Roman" w:eastAsiaTheme="minorHAnsi" w:hAnsi="Times New Roman"/>
                <w:spacing w:val="4"/>
              </w:rPr>
              <w:t xml:space="preserve"> on-line vytváranie a aktualizácia požiadaviek na podporu</w:t>
            </w:r>
            <w:r w:rsidRPr="00130184">
              <w:rPr>
                <w:rFonts w:ascii="Times New Roman" w:eastAsiaTheme="minorHAnsi" w:hAnsi="Times New Roman"/>
                <w:spacing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4C183" w14:textId="75AB4623" w:rsidR="000E0B6F" w:rsidRPr="00FE6FC4" w:rsidRDefault="000E0B6F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od 01.06.202</w:t>
            </w:r>
            <w:r>
              <w:rPr>
                <w:rFonts w:ascii="Times New Roman" w:eastAsiaTheme="minorHAnsi" w:hAnsi="Times New Roman"/>
                <w:color w:val="000000"/>
              </w:rPr>
              <w:t>5</w:t>
            </w:r>
          </w:p>
          <w:p w14:paraId="2CF4F9CE" w14:textId="3540CFB9" w:rsidR="000E0B6F" w:rsidRPr="00F93997" w:rsidRDefault="000E0B6F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do 31.05.202</w:t>
            </w:r>
            <w:r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2F66" w14:textId="0B0BB737" w:rsidR="000E0B6F" w:rsidRPr="00F93997" w:rsidRDefault="000E0B6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348B" w14:textId="77777777" w:rsidR="000E0B6F" w:rsidRPr="00F93997" w:rsidRDefault="000E0B6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A632" w14:textId="77777777" w:rsidR="000E0B6F" w:rsidRPr="00F93997" w:rsidRDefault="000E0B6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E0B6F" w:rsidRPr="00F93997" w14:paraId="010C4C65" w14:textId="04860916" w:rsidTr="000E0B6F">
        <w:trPr>
          <w:gridAfter w:val="3"/>
          <w:wAfter w:w="6096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0E0B6F" w:rsidRPr="00F93997" w:rsidRDefault="000E0B6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25173D6D" w14:textId="77777777" w:rsidR="000E0B6F" w:rsidRPr="00F93997" w:rsidRDefault="000E0B6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8135D88" w14:textId="479423E4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AE5AB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567F" w14:textId="77777777" w:rsidR="00286B3B" w:rsidRDefault="00286B3B">
      <w:pPr>
        <w:spacing w:after="0" w:line="240" w:lineRule="auto"/>
      </w:pPr>
      <w:r>
        <w:separator/>
      </w:r>
    </w:p>
  </w:endnote>
  <w:endnote w:type="continuationSeparator" w:id="0">
    <w:p w14:paraId="4DB16630" w14:textId="77777777" w:rsidR="00286B3B" w:rsidRDefault="0028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B819" w14:textId="6D99254D" w:rsidR="00B13EA1" w:rsidRDefault="00B13EA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738F422" wp14:editId="59A228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24280509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D424E" w14:textId="5B45B507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F42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EEQ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kHH6CuozLuVg4Ntbvm2x9Y758MwcEozTomjD&#10;Ex5SQVdSuFiUNOB+/M0f8xF3jFLSoWBKalDRlKhvBvmYLeZ5HgWWbmi40aiSMV3mixg3R30PqMUp&#10;PgvLkxmTgxpN6UC/oqY3sRuGmOHYs6TVaN6HQb74JrjYbFISasmysDN7y2PpiFkE9KV/Zc5eUA9I&#10;1yOMkmLFG/CH3Pint5tjQAoSMxHfAc0L7KjDxO3lzUSh/3pPWbeXvf4J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QUsrEEQIA&#10;ACE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8DD424E" w14:textId="5B45B507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D4D8" w14:textId="3A96CDD5" w:rsidR="00EF1962" w:rsidRPr="00B6385F" w:rsidRDefault="00B13EA1" w:rsidP="00235093">
    <w:pPr>
      <w:pStyle w:val="Pta"/>
      <w:jc w:val="center"/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63426A" wp14:editId="4E8A6C2B">
              <wp:simplePos x="904875" y="9934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7440479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2BE0C" w14:textId="1B91BF16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3426A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left:0;text-align:left;margin-left:0;margin-top:0;width:62.6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hJuGVh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F92BE0C" w14:textId="1B91BF16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1962" w:rsidRPr="00B6385F">
      <w:rPr>
        <w:rFonts w:ascii="Times New Roman" w:hAnsi="Times New Roman"/>
        <w:bCs/>
        <w:sz w:val="24"/>
        <w:szCs w:val="24"/>
      </w:rPr>
      <w:fldChar w:fldCharType="begin"/>
    </w:r>
    <w:r w:rsidR="00EF1962" w:rsidRPr="00B6385F">
      <w:rPr>
        <w:rFonts w:ascii="Times New Roman" w:hAnsi="Times New Roman"/>
        <w:bCs/>
      </w:rPr>
      <w:instrText>PAGE</w:instrText>
    </w:r>
    <w:r w:rsidR="00EF1962" w:rsidRPr="00B6385F">
      <w:rPr>
        <w:rFonts w:ascii="Times New Roman" w:hAnsi="Times New Roman"/>
        <w:bCs/>
        <w:sz w:val="24"/>
        <w:szCs w:val="24"/>
      </w:rPr>
      <w:fldChar w:fldCharType="separate"/>
    </w:r>
    <w:r w:rsidR="008A4BF1">
      <w:rPr>
        <w:rFonts w:ascii="Times New Roman" w:hAnsi="Times New Roman"/>
        <w:bCs/>
        <w:noProof/>
      </w:rPr>
      <w:t>1</w:t>
    </w:r>
    <w:r w:rsidR="008A4BF1">
      <w:rPr>
        <w:rFonts w:ascii="Times New Roman" w:hAnsi="Times New Roman"/>
        <w:bCs/>
        <w:noProof/>
      </w:rPr>
      <w:t>1</w:t>
    </w:r>
    <w:r w:rsidR="00EF1962" w:rsidRPr="00B6385F">
      <w:rPr>
        <w:rFonts w:ascii="Times New Roman" w:hAnsi="Times New Roman"/>
        <w:bCs/>
        <w:sz w:val="24"/>
        <w:szCs w:val="24"/>
      </w:rPr>
      <w:fldChar w:fldCharType="end"/>
    </w:r>
    <w:r w:rsidR="00EF1962" w:rsidRPr="00B6385F">
      <w:rPr>
        <w:rFonts w:ascii="Times New Roman" w:hAnsi="Times New Roman"/>
      </w:rPr>
      <w:t xml:space="preserve">/ </w:t>
    </w:r>
    <w:r w:rsidR="00EF1962" w:rsidRPr="00B6385F">
      <w:rPr>
        <w:rFonts w:ascii="Times New Roman" w:hAnsi="Times New Roman"/>
        <w:bCs/>
        <w:sz w:val="24"/>
        <w:szCs w:val="24"/>
      </w:rPr>
      <w:fldChar w:fldCharType="begin"/>
    </w:r>
    <w:r w:rsidR="00EF1962" w:rsidRPr="00B6385F">
      <w:rPr>
        <w:rFonts w:ascii="Times New Roman" w:hAnsi="Times New Roman"/>
        <w:bCs/>
      </w:rPr>
      <w:instrText>NUMPAGES</w:instrText>
    </w:r>
    <w:r w:rsidR="00EF1962" w:rsidRPr="00B6385F">
      <w:rPr>
        <w:rFonts w:ascii="Times New Roman" w:hAnsi="Times New Roman"/>
        <w:bCs/>
        <w:sz w:val="24"/>
        <w:szCs w:val="24"/>
      </w:rPr>
      <w:fldChar w:fldCharType="separate"/>
    </w:r>
    <w:r w:rsidR="008A4BF1">
      <w:rPr>
        <w:rFonts w:ascii="Times New Roman" w:hAnsi="Times New Roman"/>
        <w:bCs/>
        <w:noProof/>
      </w:rPr>
      <w:t>14</w:t>
    </w:r>
    <w:r w:rsidR="00EF1962"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620A" w14:textId="13C02B1B" w:rsidR="00B13EA1" w:rsidRDefault="00B13EA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E426301" wp14:editId="4556292A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726219871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4D7CD" w14:textId="1FA7A78B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2630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31.8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N1LTB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914D7CD" w14:textId="1FA7A78B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CD18" w14:textId="5BC17A38" w:rsidR="00400949" w:rsidRDefault="00B13EA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87A949B" wp14:editId="4AC402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539434887" name="Textové pole 1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A407C" w14:textId="08D89C58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A949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INTERNÉ" style="position:absolute;margin-left:0;margin-top:0;width:62.6pt;height:31.8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rT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sRndFVQn3ErBwPh3vJti713zIdn5pBhHBdV&#10;G57wkAq6ksLFoqQB9+Nv/piPwGOUkg4VU1KDkqZEfTNIyGwxz/OosHRDw41GlYzpMl/EuDnqe0Ax&#10;TvFdWJ7MmBzUaEoH+hVFvYndMMQMx54lrUbzPgz6xUfBxWaTklBMloWd2VseS0fQIqIv/Stz9gJ7&#10;QL4eYdQUK96gP+TGP73dHANykKi5oXnBHYWYyL08mqj0X+8p6/a01z8B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AALurTEQIA&#10;ACI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E8A407C" w14:textId="08D89C58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54FE" w14:textId="76C82330" w:rsidR="00400949" w:rsidRDefault="00B13EA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6FADE26" wp14:editId="775A38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742186387" name="Textové pole 1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D542D" w14:textId="4EE32B2C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ADE2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INTERNÉ" style="position:absolute;margin-left:0;margin-top:0;width:62.6pt;height:31.8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b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uv4FdRn3MrBQLi3fNti7x3z4Zk5ZBjHRdWG&#10;Jzykgq6kcLEoacD9+Js/5iPwGKWkQ8WU1KCkKVHfDBIyW8zzPCos3dBwo1ElY7rMFzFujvoeUIxT&#10;fBeWJzMmBzWa0oF+RVFvYjcMMcOxZ0mr0bwPg37xUXCx2aQkFJNlYWf2lsfSEbSI6Ev/ypy9wB6Q&#10;r0cYNcWKN+gPufFPbzfHgBwkaiLAA5oX3FGIidzLo4lK//Wesm5Pe/0T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woWtbEQIA&#10;ACIEAAAOAAAAAAAAAAAAAAAAAC4CAABkcnMvZTJvRG9jLnhtbFBLAQItABQABgAIAAAAIQBifOo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E8D542D" w14:textId="4EE32B2C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25C8" w14:textId="3E854D5A" w:rsidR="00400949" w:rsidRDefault="00B13EA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AF53C0E" wp14:editId="1DF18F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462082953" name="Textové pole 10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45C8F" w14:textId="27DFA09C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53C0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É" style="position:absolute;margin-left:0;margin-top:0;width:62.6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fe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uhy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dBQH3hIC&#10;AAAhBAAADgAAAAAAAAAAAAAAAAAuAgAAZHJzL2Uyb0RvYy54bWxQSwECLQAUAAYACAAAACEAYnzq&#10;L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3845C8F" w14:textId="27DFA09C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8FF3" w14:textId="77777777" w:rsidR="00286B3B" w:rsidRDefault="00286B3B">
      <w:pPr>
        <w:spacing w:after="0" w:line="240" w:lineRule="auto"/>
      </w:pPr>
      <w:r>
        <w:separator/>
      </w:r>
    </w:p>
  </w:footnote>
  <w:footnote w:type="continuationSeparator" w:id="0">
    <w:p w14:paraId="09AC2EAE" w14:textId="77777777" w:rsidR="00286B3B" w:rsidRDefault="0028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0CE9" w14:textId="7B678B59" w:rsidR="00B13EA1" w:rsidRDefault="00B13EA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59D888" wp14:editId="2FAFE9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996692297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F6146" w14:textId="16A3B983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9D8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ADF6146" w14:textId="16A3B983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E8B7" w14:textId="5B8FEECD" w:rsidR="00B13EA1" w:rsidRDefault="00B13EA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C91520" wp14:editId="0A68EF39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90497850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277D6" w14:textId="713C241B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9152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BL847T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D8277D6" w14:textId="713C241B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D0AD" w14:textId="2EDCE58A" w:rsidR="007C204F" w:rsidRPr="003E376D" w:rsidRDefault="00B13EA1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noProof/>
        <w:sz w:val="20"/>
        <w:szCs w:val="20"/>
        <w:lang w:val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5EBA18" wp14:editId="074B80B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57673851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FF360" w14:textId="2A688969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EBA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23FF360" w14:textId="2A688969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376D"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3A3D" w14:textId="7107607C" w:rsidR="00400949" w:rsidRDefault="00B13EA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0D6943" wp14:editId="41FB5EA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2113086057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ECF73" w14:textId="6F493CDA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D694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É" style="position:absolute;margin-left:11.4pt;margin-top:0;width:62.6pt;height:31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B5ECF73" w14:textId="6F493CDA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0829" w14:textId="2EBCE1E4" w:rsidR="00400949" w:rsidRDefault="00B13EA1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32B77B" wp14:editId="76E3B8D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62590685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F006F" w14:textId="1220ADFE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2B77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É" style="position:absolute;left:0;text-align:left;margin-left:11.4pt;margin-top:0;width:62.6pt;height:31.8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AZUOje&#10;EQIAACEEAAAOAAAAAAAAAAAAAAAAAC4CAABkcnMvZTJvRG9jLnhtbFBLAQItABQABgAIAAAAIQAh&#10;ej9q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CDF006F" w14:textId="1220ADFE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468A">
      <w:rPr>
        <w:rFonts w:ascii="Times New Roman" w:hAnsi="Times New Roman"/>
        <w:b/>
      </w:rPr>
      <w:t xml:space="preserve">Príloha k </w:t>
    </w:r>
    <w:r w:rsidR="00AA468A" w:rsidRPr="00045C17">
      <w:rPr>
        <w:rFonts w:ascii="Times New Roman" w:hAnsi="Times New Roman"/>
        <w:b/>
      </w:rPr>
      <w:t>Zmluv</w:t>
    </w:r>
    <w:r w:rsidR="00AA468A">
      <w:rPr>
        <w:rFonts w:ascii="Times New Roman" w:hAnsi="Times New Roman"/>
        <w:b/>
      </w:rPr>
      <w:t>e</w:t>
    </w:r>
    <w:r w:rsidR="00AA468A" w:rsidRPr="00045C17">
      <w:rPr>
        <w:rFonts w:ascii="Times New Roman" w:hAnsi="Times New Roman"/>
        <w:b/>
      </w:rPr>
      <w:t xml:space="preserve"> o zabezpečení </w:t>
    </w:r>
    <w:r w:rsidR="00AA468A">
      <w:rPr>
        <w:rFonts w:ascii="Times New Roman" w:hAnsi="Times New Roman"/>
        <w:b/>
      </w:rPr>
      <w:t xml:space="preserve">podpory </w:t>
    </w:r>
    <w:r w:rsidR="00AA468A" w:rsidRPr="00045C17">
      <w:rPr>
        <w:rFonts w:ascii="Times New Roman" w:hAnsi="Times New Roman"/>
        <w:b/>
      </w:rPr>
      <w:t xml:space="preserve">číslo </w:t>
    </w:r>
    <w:r w:rsidR="00AA468A">
      <w:rPr>
        <w:rFonts w:ascii="Times New Roman" w:hAnsi="Times New Roman"/>
        <w:b/>
      </w:rPr>
      <w:t>..................................</w:t>
    </w:r>
  </w:p>
  <w:p w14:paraId="4EE0A23C" w14:textId="3898FD3F" w:rsidR="00400949" w:rsidRPr="00400949" w:rsidRDefault="00400949" w:rsidP="00400949">
    <w:pPr>
      <w:pStyle w:val="Hlavika"/>
      <w:jc w:val="center"/>
      <w:rPr>
        <w:rFonts w:ascii="Times New Roman" w:hAnsi="Times New Roman"/>
        <w:b/>
        <w:sz w:val="28"/>
        <w:szCs w:val="28"/>
      </w:rPr>
    </w:pPr>
    <w:r w:rsidRPr="00400949">
      <w:rPr>
        <w:rFonts w:ascii="Times New Roman" w:hAnsi="Times New Roman"/>
        <w:b/>
        <w:sz w:val="28"/>
        <w:szCs w:val="28"/>
      </w:rPr>
      <w:t>Špecifikácia tovaru a cenník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3A30" w14:textId="0DE1B4BE" w:rsidR="00400949" w:rsidRDefault="00B13EA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DF9526" wp14:editId="451AFDE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225398753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A7AAC" w14:textId="3AF0F03A" w:rsidR="00B13EA1" w:rsidRPr="00B13EA1" w:rsidRDefault="00B13EA1" w:rsidP="00B13E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E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F952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É" style="position:absolute;margin-left:11.4pt;margin-top:0;width:62.6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u3wP&#10;WxICAAAhBAAADgAAAAAAAAAAAAAAAAAuAgAAZHJzL2Uyb0RvYy54bWxQSwECLQAUAAYACAAAACEA&#10;IXo/a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76A7AAC" w14:textId="3AF0F03A" w:rsidR="00B13EA1" w:rsidRPr="00B13EA1" w:rsidRDefault="00B13EA1" w:rsidP="00B13E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E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711033">
    <w:abstractNumId w:val="19"/>
  </w:num>
  <w:num w:numId="2" w16cid:durableId="1687514614">
    <w:abstractNumId w:val="47"/>
  </w:num>
  <w:num w:numId="3" w16cid:durableId="366027389">
    <w:abstractNumId w:val="4"/>
  </w:num>
  <w:num w:numId="4" w16cid:durableId="497186766">
    <w:abstractNumId w:val="38"/>
  </w:num>
  <w:num w:numId="5" w16cid:durableId="2061246848">
    <w:abstractNumId w:val="22"/>
  </w:num>
  <w:num w:numId="6" w16cid:durableId="1133447059">
    <w:abstractNumId w:val="40"/>
  </w:num>
  <w:num w:numId="7" w16cid:durableId="577597558">
    <w:abstractNumId w:val="8"/>
  </w:num>
  <w:num w:numId="8" w16cid:durableId="1448936441">
    <w:abstractNumId w:val="44"/>
  </w:num>
  <w:num w:numId="9" w16cid:durableId="1944067384">
    <w:abstractNumId w:val="16"/>
  </w:num>
  <w:num w:numId="10" w16cid:durableId="282343614">
    <w:abstractNumId w:val="39"/>
  </w:num>
  <w:num w:numId="11" w16cid:durableId="443156346">
    <w:abstractNumId w:val="10"/>
  </w:num>
  <w:num w:numId="12" w16cid:durableId="2067877145">
    <w:abstractNumId w:val="26"/>
  </w:num>
  <w:num w:numId="13" w16cid:durableId="1088191404">
    <w:abstractNumId w:val="37"/>
  </w:num>
  <w:num w:numId="14" w16cid:durableId="1226183126">
    <w:abstractNumId w:val="20"/>
  </w:num>
  <w:num w:numId="15" w16cid:durableId="546070705">
    <w:abstractNumId w:val="46"/>
  </w:num>
  <w:num w:numId="16" w16cid:durableId="201020870">
    <w:abstractNumId w:val="29"/>
  </w:num>
  <w:num w:numId="17" w16cid:durableId="283849577">
    <w:abstractNumId w:val="25"/>
  </w:num>
  <w:num w:numId="18" w16cid:durableId="1050612809">
    <w:abstractNumId w:val="9"/>
  </w:num>
  <w:num w:numId="19" w16cid:durableId="1279138435">
    <w:abstractNumId w:val="17"/>
  </w:num>
  <w:num w:numId="20" w16cid:durableId="1007026745">
    <w:abstractNumId w:val="6"/>
  </w:num>
  <w:num w:numId="21" w16cid:durableId="100301499">
    <w:abstractNumId w:val="32"/>
  </w:num>
  <w:num w:numId="22" w16cid:durableId="228000171">
    <w:abstractNumId w:val="2"/>
  </w:num>
  <w:num w:numId="23" w16cid:durableId="989480472">
    <w:abstractNumId w:val="3"/>
  </w:num>
  <w:num w:numId="24" w16cid:durableId="1581793540">
    <w:abstractNumId w:val="36"/>
  </w:num>
  <w:num w:numId="25" w16cid:durableId="1788042006">
    <w:abstractNumId w:val="11"/>
  </w:num>
  <w:num w:numId="26" w16cid:durableId="901407039">
    <w:abstractNumId w:val="45"/>
  </w:num>
  <w:num w:numId="27" w16cid:durableId="1058213307">
    <w:abstractNumId w:val="33"/>
  </w:num>
  <w:num w:numId="28" w16cid:durableId="1030715650">
    <w:abstractNumId w:val="27"/>
  </w:num>
  <w:num w:numId="29" w16cid:durableId="138037498">
    <w:abstractNumId w:val="35"/>
  </w:num>
  <w:num w:numId="30" w16cid:durableId="727804739">
    <w:abstractNumId w:val="31"/>
  </w:num>
  <w:num w:numId="31" w16cid:durableId="1064648661">
    <w:abstractNumId w:val="28"/>
  </w:num>
  <w:num w:numId="32" w16cid:durableId="893389517">
    <w:abstractNumId w:val="12"/>
  </w:num>
  <w:num w:numId="33" w16cid:durableId="1349019304">
    <w:abstractNumId w:val="0"/>
  </w:num>
  <w:num w:numId="34" w16cid:durableId="1165361887">
    <w:abstractNumId w:val="42"/>
  </w:num>
  <w:num w:numId="35" w16cid:durableId="106241832">
    <w:abstractNumId w:val="21"/>
  </w:num>
  <w:num w:numId="36" w16cid:durableId="1619876086">
    <w:abstractNumId w:val="13"/>
  </w:num>
  <w:num w:numId="37" w16cid:durableId="781001325">
    <w:abstractNumId w:val="24"/>
  </w:num>
  <w:num w:numId="38" w16cid:durableId="1731296554">
    <w:abstractNumId w:val="41"/>
  </w:num>
  <w:num w:numId="39" w16cid:durableId="2083864217">
    <w:abstractNumId w:val="15"/>
  </w:num>
  <w:num w:numId="40" w16cid:durableId="679501743">
    <w:abstractNumId w:val="18"/>
  </w:num>
  <w:num w:numId="41" w16cid:durableId="2037583606">
    <w:abstractNumId w:val="1"/>
  </w:num>
  <w:num w:numId="42" w16cid:durableId="780884225">
    <w:abstractNumId w:val="7"/>
  </w:num>
  <w:num w:numId="43" w16cid:durableId="983046811">
    <w:abstractNumId w:val="14"/>
  </w:num>
  <w:num w:numId="44" w16cid:durableId="671033231">
    <w:abstractNumId w:val="23"/>
  </w:num>
  <w:num w:numId="45" w16cid:durableId="1627349040">
    <w:abstractNumId w:val="43"/>
  </w:num>
  <w:num w:numId="46" w16cid:durableId="1242131726">
    <w:abstractNumId w:val="5"/>
  </w:num>
  <w:num w:numId="47" w16cid:durableId="116409859">
    <w:abstractNumId w:val="34"/>
  </w:num>
  <w:num w:numId="48" w16cid:durableId="1588924975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4B78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0B6F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0184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6B3B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28"/>
    <w:rsid w:val="00354F9F"/>
    <w:rsid w:val="0035667E"/>
    <w:rsid w:val="003569F9"/>
    <w:rsid w:val="0035769E"/>
    <w:rsid w:val="00363470"/>
    <w:rsid w:val="00366C19"/>
    <w:rsid w:val="00371C59"/>
    <w:rsid w:val="00380DA3"/>
    <w:rsid w:val="00381182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0949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675B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269C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7311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2F1D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5C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238D"/>
    <w:rsid w:val="008936AE"/>
    <w:rsid w:val="008955AA"/>
    <w:rsid w:val="00896024"/>
    <w:rsid w:val="008A4BF1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0ACD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5307"/>
    <w:rsid w:val="00A76A77"/>
    <w:rsid w:val="00A80D78"/>
    <w:rsid w:val="00A82668"/>
    <w:rsid w:val="00A843A0"/>
    <w:rsid w:val="00A859BD"/>
    <w:rsid w:val="00A9013C"/>
    <w:rsid w:val="00A9197F"/>
    <w:rsid w:val="00A921D9"/>
    <w:rsid w:val="00A930FF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7C3D"/>
    <w:rsid w:val="00AE493E"/>
    <w:rsid w:val="00AE5941"/>
    <w:rsid w:val="00AE5ABF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3EA1"/>
    <w:rsid w:val="00B1700C"/>
    <w:rsid w:val="00B17B40"/>
    <w:rsid w:val="00B219F9"/>
    <w:rsid w:val="00B22264"/>
    <w:rsid w:val="00B2664B"/>
    <w:rsid w:val="00B26744"/>
    <w:rsid w:val="00B26892"/>
    <w:rsid w:val="00B2699E"/>
    <w:rsid w:val="00B33FC5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4CA6"/>
    <w:rsid w:val="00BF5530"/>
    <w:rsid w:val="00BF645C"/>
    <w:rsid w:val="00BF67AE"/>
    <w:rsid w:val="00BF6F14"/>
    <w:rsid w:val="00C0152E"/>
    <w:rsid w:val="00C05CD7"/>
    <w:rsid w:val="00C073A5"/>
    <w:rsid w:val="00C11BBA"/>
    <w:rsid w:val="00C1413D"/>
    <w:rsid w:val="00C22AB9"/>
    <w:rsid w:val="00C2468D"/>
    <w:rsid w:val="00C26BFB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37E6F"/>
    <w:rsid w:val="00D43C6F"/>
    <w:rsid w:val="00D44196"/>
    <w:rsid w:val="00D45CE7"/>
    <w:rsid w:val="00D51531"/>
    <w:rsid w:val="00D529B8"/>
    <w:rsid w:val="00D57DF8"/>
    <w:rsid w:val="00D616D1"/>
    <w:rsid w:val="00D62794"/>
    <w:rsid w:val="00D62CCF"/>
    <w:rsid w:val="00D62FF2"/>
    <w:rsid w:val="00D6357B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5DE2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4C8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62BC"/>
    <w:rsid w:val="00FA7106"/>
    <w:rsid w:val="00FB1597"/>
    <w:rsid w:val="00FB2D82"/>
    <w:rsid w:val="00FB3242"/>
    <w:rsid w:val="00FB3684"/>
    <w:rsid w:val="00FB3BB9"/>
    <w:rsid w:val="00FC4ABD"/>
    <w:rsid w:val="00FC5F76"/>
    <w:rsid w:val="00FC74ED"/>
    <w:rsid w:val="00FC7D6E"/>
    <w:rsid w:val="00FD0632"/>
    <w:rsid w:val="00FD0B29"/>
    <w:rsid w:val="00FD7A9B"/>
    <w:rsid w:val="00FD7DA3"/>
    <w:rsid w:val="00FE2AFB"/>
    <w:rsid w:val="00FE6FC4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A30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90B50F34-CBFA-4079-9A1C-6315BEB02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3960</Words>
  <Characters>22573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2025-04-03T13:25:00Z</dcterms:created>
  <dcterms:modified xsi:type="dcterms:W3CDTF">2025-04-04T12:02:00Z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226054d3,3b685149,35f0e04b,490a19e1,7df32269,254e94a4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2b493c5f,1727dbd,10a1edf,57259d89,20271f87,2c3cdd93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2025-04-03T12:46:44Z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9a78c565-316b-4f1e-b9d2-6e1976758688</vt:lpwstr>
  </property>
  <property fmtid="{D5CDD505-2E9C-101B-9397-08002B2CF9AE}" pid="425" name="MSIP_Label_8411ea1f-1665-4a34-a3d8-210cc7d6932e_ContentBits">
    <vt:lpwstr>3</vt:lpwstr>
  </property>
  <property fmtid="{D5CDD505-2E9C-101B-9397-08002B2CF9AE}" pid="426" name="MSIP_Label_8411ea1f-1665-4a34-a3d8-210cc7d6932e_Tag">
    <vt:lpwstr>10, 3, 0, 1</vt:lpwstr>
  </property>
</Properties>
</file>