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1DF5C85D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Jilemnického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1 ,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3145F951" w:rsidR="00D63123" w:rsidRDefault="00E57D24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Č. p. :  CPTN-MP-202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5</w:t>
      </w:r>
      <w:r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B24BD3">
        <w:rPr>
          <w:rFonts w:ascii="Arial Narrow" w:hAnsi="Arial Narrow"/>
          <w:b w:val="0"/>
          <w:sz w:val="22"/>
          <w:szCs w:val="22"/>
          <w:lang w:val="sk-SK"/>
        </w:rPr>
        <w:t>827-002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36A6CF9" w:rsidR="00D63123" w:rsidRPr="00982A36" w:rsidRDefault="003348C6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20035C01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E57D24">
        <w:rPr>
          <w:rFonts w:ascii="Arial Narrow" w:hAnsi="Arial Narrow"/>
          <w:b w:val="0"/>
          <w:sz w:val="22"/>
          <w:szCs w:val="22"/>
          <w:lang w:val="sk-SK"/>
        </w:rPr>
        <w:t>-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49D4B9F3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Jilemnického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1,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041AAD1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E57D24">
        <w:rPr>
          <w:rFonts w:ascii="Arial Narrow" w:hAnsi="Arial Narrow"/>
          <w:b w:val="0"/>
          <w:sz w:val="22"/>
          <w:szCs w:val="22"/>
          <w:lang w:val="sk-SK"/>
        </w:rPr>
        <w:t>Ing. Monika Maslová</w:t>
      </w:r>
    </w:p>
    <w:p w14:paraId="042B0575" w14:textId="6EAE37EA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0961 20 5357</w:t>
      </w:r>
    </w:p>
    <w:p w14:paraId="017D112E" w14:textId="0FAB0AC3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monika.maslova@minv.sk</w:t>
      </w:r>
    </w:p>
    <w:p w14:paraId="02E2953A" w14:textId="28F91DBC" w:rsidR="00E57D24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</w:t>
      </w:r>
      <w:hyperlink r:id="rId9" w:history="1">
        <w:r w:rsidR="0018761E" w:rsidRPr="00FD2707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https://josephine.proebiz.com/sk/promoter/tender/66130/general</w:t>
        </w:r>
      </w:hyperlink>
    </w:p>
    <w:p w14:paraId="094536D4" w14:textId="40CA809C" w:rsidR="004A36A4" w:rsidRPr="00B359CE" w:rsidRDefault="004A36A4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D97633E" w14:textId="5EDE67B4" w:rsidR="001A40C9" w:rsidRDefault="00F10F7F" w:rsidP="00C0114A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Prevoz a odvoz</w:t>
      </w:r>
      <w:r w:rsidR="001A40C9">
        <w:rPr>
          <w:rFonts w:ascii="Arial Narrow" w:hAnsi="Arial Narrow"/>
          <w:b w:val="0"/>
          <w:sz w:val="22"/>
          <w:szCs w:val="22"/>
          <w:lang w:val="sk-SK"/>
        </w:rPr>
        <w:t xml:space="preserve"> ľudských pozostatkov a ľudských ostatkov</w:t>
      </w:r>
      <w:r w:rsidR="00C0114A">
        <w:rPr>
          <w:rFonts w:ascii="Arial Narrow" w:hAnsi="Arial Narrow"/>
          <w:b w:val="0"/>
          <w:sz w:val="22"/>
          <w:szCs w:val="22"/>
          <w:lang w:val="sk-SK"/>
        </w:rPr>
        <w:t xml:space="preserve"> na súdnu pitvu pre Okresné riaditeľstvo Policajného zboru v</w:t>
      </w:r>
      <w:r w:rsidR="00DE0B27">
        <w:rPr>
          <w:rFonts w:ascii="Arial Narrow" w:hAnsi="Arial Narrow"/>
          <w:b w:val="0"/>
          <w:sz w:val="22"/>
          <w:szCs w:val="22"/>
          <w:lang w:val="sk-SK"/>
        </w:rPr>
        <w:t> Prievidzi a pre Okresné riaditeľstvo Policajného zboru v Part</w:t>
      </w:r>
      <w:r w:rsidR="003239BE">
        <w:rPr>
          <w:rFonts w:ascii="Arial Narrow" w:hAnsi="Arial Narrow"/>
          <w:b w:val="0"/>
          <w:sz w:val="22"/>
          <w:szCs w:val="22"/>
          <w:lang w:val="sk-SK"/>
        </w:rPr>
        <w:t>izánskom</w:t>
      </w:r>
    </w:p>
    <w:p w14:paraId="1322346F" w14:textId="3A00C89F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17F8F9CA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15FE4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16F3399B" w:rsidR="00DD4EEC" w:rsidRPr="00B359CE" w:rsidRDefault="00860E53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65FD8D6A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37086D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7086D">
        <w:rPr>
          <w:rFonts w:ascii="Arial Narrow" w:hAnsi="Arial Narrow"/>
          <w:b w:val="0"/>
          <w:sz w:val="22"/>
          <w:szCs w:val="22"/>
          <w:lang w:val="sk-SK"/>
        </w:rPr>
        <w:t>Okresné riaditeľstvo Policajného zboru v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 Prievidzi a</w:t>
      </w:r>
      <w:r w:rsidR="0038791E">
        <w:rPr>
          <w:rFonts w:ascii="Arial Narrow" w:hAnsi="Arial Narrow"/>
          <w:b w:val="0"/>
          <w:sz w:val="22"/>
          <w:szCs w:val="22"/>
          <w:lang w:val="sk-SK"/>
        </w:rPr>
        <w:t xml:space="preserve"> v </w:t>
      </w:r>
      <w:bookmarkStart w:id="1" w:name="_GoBack"/>
      <w:bookmarkEnd w:id="1"/>
      <w:r w:rsidR="000B6958">
        <w:rPr>
          <w:rFonts w:ascii="Arial Narrow" w:hAnsi="Arial Narrow"/>
          <w:b w:val="0"/>
          <w:sz w:val="22"/>
          <w:szCs w:val="22"/>
          <w:lang w:val="sk-SK"/>
        </w:rPr>
        <w:t>Partizánskom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a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 všetk</w:t>
      </w:r>
      <w:r w:rsidR="00B65B35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 xml:space="preserve">im 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>podriaden</w:t>
      </w:r>
      <w:r w:rsidR="00B65B35">
        <w:rPr>
          <w:rFonts w:ascii="Arial Narrow" w:hAnsi="Arial Narrow"/>
          <w:b w:val="0"/>
          <w:sz w:val="22"/>
          <w:szCs w:val="22"/>
          <w:lang w:val="sk-SK"/>
        </w:rPr>
        <w:t>é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útvar</w:t>
      </w:r>
      <w:r w:rsidR="00B65B35">
        <w:rPr>
          <w:rFonts w:ascii="Arial Narrow" w:hAnsi="Arial Narrow"/>
          <w:b w:val="0"/>
          <w:sz w:val="22"/>
          <w:szCs w:val="22"/>
          <w:lang w:val="sk-SK"/>
        </w:rPr>
        <w:t>y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F9C9FFA" w:rsidR="001C1A87" w:rsidRPr="00B359CE" w:rsidRDefault="002E055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Priebežne počas trvania zmluvy, najviac však </w:t>
      </w:r>
      <w:r w:rsidRPr="009316B0">
        <w:rPr>
          <w:rFonts w:ascii="Arial Narrow" w:hAnsi="Arial Narrow"/>
          <w:b w:val="0"/>
          <w:iCs/>
          <w:sz w:val="22"/>
          <w:szCs w:val="22"/>
          <w:lang w:val="sk-SK" w:bidi="en-US"/>
        </w:rPr>
        <w:t>24</w:t>
      </w: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uzatvorenia zmluvy</w:t>
      </w:r>
    </w:p>
    <w:p w14:paraId="1975C63A" w14:textId="051C0CEE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F708252" w14:textId="44179B4B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Zabezpečenie 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prevozu a odvozu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ľudských pozostatkov a ľudských ostatkov v rámci Okresného riaditeľstva Policajného zboru v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 xml:space="preserve"> Prievidzi a v rámci </w:t>
      </w:r>
      <w:r w:rsidR="000B6958" w:rsidRPr="005375DD">
        <w:rPr>
          <w:rFonts w:ascii="Arial Narrow" w:hAnsi="Arial Narrow"/>
          <w:b w:val="0"/>
          <w:sz w:val="22"/>
          <w:szCs w:val="22"/>
          <w:lang w:val="sk-SK"/>
        </w:rPr>
        <w:t>Okresného riaditeľstva Policajného zboru v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 xml:space="preserve"> Partizánskom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im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podriadeným útvarom za účelom vykonania súdnej pitvy. Uchádzač bude v prípade potreby privolaný príslušníkom PZ na miesto činu, kde je povinný sa dostaviť 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>do 90</w:t>
      </w:r>
      <w:r w:rsidR="00954C62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>minút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od telefonického nahlásenia objednávateľom. Na uvedenom mieste vyzdvihne ľudské pozostatky, prípadne ostatky a podľa ďalších pokynov príslušníka PZ ich prevezie na súdnu pitvu do zariadenia v Martine alebo Nitre. Zaväzuje sa zabezpečovať manipuláciu nepretržite 24 hodín.</w:t>
      </w:r>
    </w:p>
    <w:p w14:paraId="4A447FF2" w14:textId="77777777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028BBAA" w14:textId="1EE0BA6D" w:rsidR="00900F63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>Cena za uvedené služby musí byť uvedená ako cena bez DPH, sadzba DPH, výška DPH a cena s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DP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H. A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k uchádzač nie je platiteľom DPH, na túto skutočnosť v ponuke upozorní. Cena počas trvania zákazky bude pevná a konečná. Ponuka musí obsahovať minimálne všetky informácie, údaje a položky tak, ako je priložené v</w:t>
      </w:r>
      <w:r w:rsidR="007E77A5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tabuľke.</w:t>
      </w:r>
    </w:p>
    <w:p w14:paraId="24A7B821" w14:textId="22136F37" w:rsidR="00027E1D" w:rsidRDefault="00027E1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br w:type="page"/>
      </w: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720"/>
        <w:gridCol w:w="982"/>
        <w:gridCol w:w="982"/>
        <w:gridCol w:w="982"/>
      </w:tblGrid>
      <w:tr w:rsidR="00900F63" w:rsidRPr="00900F63" w14:paraId="0E724C05" w14:textId="77777777" w:rsidTr="00F44CEF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CE270" w14:textId="77777777" w:rsidR="00900F63" w:rsidRPr="00900F63" w:rsidRDefault="00900F63" w:rsidP="00900F63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lastRenderedPageBreak/>
              <w:t>Bod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7C200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Názov služby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A2F4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bez DPH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46FE5" w14:textId="6F9246FC" w:rsidR="00900F63" w:rsidRPr="00900F63" w:rsidRDefault="00900F63" w:rsidP="00F10F7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DPH 2</w:t>
            </w:r>
            <w:r w:rsidR="00F10F7F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</w:t>
            </w: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581F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s DPH</w:t>
            </w:r>
          </w:p>
        </w:tc>
      </w:tr>
      <w:tr w:rsidR="00900F63" w:rsidRPr="00900F63" w14:paraId="34AD711D" w14:textId="77777777" w:rsidTr="00F44CEF">
        <w:trPr>
          <w:trHeight w:val="1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DB1C7B" w14:textId="77777777" w:rsidR="00900F63" w:rsidRPr="00900F63" w:rsidRDefault="00900F63" w:rsidP="00BF6F9C">
            <w:pPr>
              <w:jc w:val="center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06B28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 a uskladnenie ľudských pozostatkov za účelom vykonania súdnej pitvy</w:t>
            </w:r>
          </w:p>
          <w:p w14:paraId="057BBA8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 xml:space="preserve"> v cene je zahrnuté: </w:t>
            </w:r>
          </w:p>
          <w:p w14:paraId="76AF43C0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</w:t>
            </w:r>
          </w:p>
          <w:p w14:paraId="3CC708D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Manipulácia so zosnulým</w:t>
            </w:r>
          </w:p>
          <w:p w14:paraId="3AAC310C" w14:textId="5D8FA8DD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Použitie mraziac</w:t>
            </w:r>
            <w:r w:rsidR="007E77A5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eho/chladiaceho boxu do 100 hodín</w:t>
            </w:r>
          </w:p>
          <w:p w14:paraId="7AE2719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Transportný vak</w:t>
            </w:r>
          </w:p>
          <w:p w14:paraId="5C2DDFEA" w14:textId="6720587A" w:rsidR="00900F63" w:rsidRPr="00900F63" w:rsidRDefault="007E77A5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Čakacia doba -</w:t>
            </w:r>
            <w:r w:rsidR="00900F63"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 xml:space="preserve"> výkon na mieste</w:t>
            </w:r>
          </w:p>
          <w:p w14:paraId="66F3F749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Dezinfekcia vozidla</w:t>
            </w:r>
          </w:p>
          <w:p w14:paraId="38629F36" w14:textId="77777777" w:rsidR="00900F63" w:rsidRPr="00900F63" w:rsidRDefault="00900F63" w:rsidP="00F44CEF">
            <w:pPr>
              <w:pStyle w:val="Odsekzoznamu"/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F7A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263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C5B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FA786A0" w14:textId="77777777" w:rsidTr="00F44CEF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925E5" w14:textId="77777777" w:rsidR="00900F63" w:rsidRPr="00900F63" w:rsidRDefault="00900F63" w:rsidP="00BF6F9C">
            <w:pPr>
              <w:jc w:val="center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8FC385" w14:textId="541EC251" w:rsidR="00900F63" w:rsidRPr="00900F63" w:rsidRDefault="00900F63" w:rsidP="00F44CEF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Použitie chladiaceho/mraziaceho boxu nad 100 h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odín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 xml:space="preserve"> </w:t>
            </w:r>
          </w:p>
          <w:p w14:paraId="734C8C92" w14:textId="1FB68B70" w:rsidR="00900F63" w:rsidRPr="00900F63" w:rsidRDefault="00900F63" w:rsidP="007E77A5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(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cena za 1 hod.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34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68C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4D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0DF1C51" w14:textId="77777777" w:rsidTr="00F60848">
        <w:trPr>
          <w:trHeight w:val="43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47CA6" w14:textId="77777777" w:rsidR="00900F63" w:rsidRPr="00900F63" w:rsidRDefault="00900F63" w:rsidP="00BF6F9C">
            <w:pPr>
              <w:jc w:val="center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E9B96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Súčet cien (bod 1. a bod 2.)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9492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7F08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0F2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</w:tbl>
    <w:p w14:paraId="3BDE0946" w14:textId="77777777" w:rsidR="00900F63" w:rsidRPr="00900F63" w:rsidRDefault="00900F63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03685B" w14:textId="77777777" w:rsidR="005375DD" w:rsidRDefault="005375DD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4A1B0892" w:rsidR="004935D3" w:rsidRDefault="00BC500E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 xml:space="preserve"> potreby na dodanie požadovaného množstva predmetu zákazky do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>vyčerpania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finančného limitu zmluvy, najviac </w:t>
      </w:r>
      <w:r w:rsidR="000631C0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však </w:t>
      </w:r>
      <w:r w:rsidR="00B0406D" w:rsidRPr="009316B0">
        <w:rPr>
          <w:rFonts w:ascii="Arial Narrow" w:hAnsi="Arial Narrow"/>
          <w:b w:val="0"/>
          <w:sz w:val="22"/>
          <w:szCs w:val="22"/>
          <w:lang w:val="sk-SK"/>
        </w:rPr>
        <w:t>24 mesiacov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od uzatvorenia zmluvy, podľa toho, ktorá skutočnosť nastane skôr.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06EA71BA" w:rsidR="00D94660" w:rsidRPr="00B359CE" w:rsidRDefault="00BC500E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 w:rsidR="00F10F7F">
        <w:rPr>
          <w:rFonts w:ascii="Arial Narrow" w:hAnsi="Arial Narrow"/>
          <w:b w:val="0"/>
          <w:szCs w:val="22"/>
        </w:rPr>
        <w:t xml:space="preserve"> 10</w:t>
      </w:r>
      <w:r>
        <w:rPr>
          <w:rFonts w:ascii="Arial Narrow" w:hAnsi="Arial Narrow"/>
          <w:b w:val="0"/>
          <w:szCs w:val="22"/>
        </w:rPr>
        <w:t>.000,-</w:t>
      </w:r>
      <w:r w:rsidR="000E3F01" w:rsidRPr="00B359CE">
        <w:rPr>
          <w:rFonts w:ascii="Arial Narrow" w:hAnsi="Arial Narrow"/>
          <w:b w:val="0"/>
          <w:szCs w:val="22"/>
        </w:rPr>
        <w:t xml:space="preserve"> EUR bez DPH.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59DEA69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ACCF31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</w:t>
      </w:r>
      <w:r w:rsidR="00982404">
        <w:rPr>
          <w:rFonts w:ascii="Arial Narrow" w:hAnsi="Arial Narrow"/>
          <w:b w:val="0"/>
          <w:sz w:val="22"/>
          <w:szCs w:val="22"/>
          <w:lang w:val="sk-SK"/>
        </w:rPr>
        <w:t>„Knižnica manuálov a odkazov“.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042EEBC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E206A4">
        <w:rPr>
          <w:rFonts w:ascii="Arial Narrow" w:hAnsi="Arial Narrow"/>
          <w:b w:val="0"/>
          <w:strike/>
          <w:sz w:val="22"/>
          <w:szCs w:val="22"/>
          <w:lang w:val="sk-SK"/>
        </w:rPr>
        <w:t>Áno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/Nie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43841B18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</w:t>
      </w:r>
      <w:r w:rsidRPr="009316B0">
        <w:rPr>
          <w:rFonts w:ascii="Arial Narrow" w:hAnsi="Arial Narrow"/>
          <w:sz w:val="22"/>
          <w:szCs w:val="22"/>
          <w:lang w:val="sk-SK"/>
        </w:rPr>
        <w:t>: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14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0</w:t>
      </w:r>
      <w:r w:rsidR="005C1430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F10F7F" w:rsidRPr="009316B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1B779C4A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09:0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575C083D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</w:t>
      </w:r>
      <w:r w:rsidRPr="009316B0">
        <w:rPr>
          <w:rFonts w:ascii="Arial Narrow" w:hAnsi="Arial Narrow"/>
          <w:sz w:val="22"/>
          <w:szCs w:val="22"/>
          <w:lang w:val="sk-SK"/>
        </w:rPr>
        <w:t>: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16B0" w:rsidRPr="009316B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0</w:t>
      </w:r>
      <w:r w:rsidR="005C1430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F10F7F" w:rsidRPr="009316B0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14:paraId="64CB7642" w14:textId="4C0EC65A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34D3F999" w14:textId="77777777" w:rsidR="005E746F" w:rsidRDefault="005E746F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4A7A9305" w14:textId="77777777" w:rsidR="00987F87" w:rsidRDefault="00987F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C7ACCEF" w14:textId="306FC237" w:rsidR="00987F87" w:rsidRDefault="001C1A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</w:p>
    <w:p w14:paraId="0F42DD63" w14:textId="6562704B" w:rsidR="000831F1" w:rsidRPr="00B359CE" w:rsidRDefault="00E206A4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9DAF2FA" w14:textId="77777777" w:rsidR="00987F87" w:rsidRDefault="00987F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52769264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031800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031800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E206A4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A101F21" w:rsidR="00430F3C" w:rsidRPr="00E206A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</w:t>
      </w:r>
      <w:r w:rsid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>t</w:t>
      </w:r>
      <w:r w:rsidR="00D400E5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orý zodpovedá predmetu zákazky, t. j. </w:t>
      </w:r>
      <w:r w:rsidR="005274C9" w:rsidRPr="00987F87">
        <w:rPr>
          <w:rFonts w:ascii="Arial Narrow" w:eastAsia="Arial" w:hAnsi="Arial Narrow"/>
          <w:b w:val="0"/>
          <w:bCs/>
          <w:sz w:val="22"/>
          <w:szCs w:val="22"/>
          <w:lang w:val="sk-SK"/>
        </w:rPr>
        <w:t>živnostenské oprávnenie</w:t>
      </w:r>
      <w:r w:rsidR="005274C9" w:rsidRP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alebo výpis zo živnostenského registra alebo iné než živnostenské oprávnenie, vydané podľa osobitných predpisov alebo výpis z obchodného registra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43721A0D" w14:textId="77777777" w:rsidR="00430F3C" w:rsidRPr="00E206A4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4C4B1BCD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187F0C50" w14:textId="77777777" w:rsidR="009B5B62" w:rsidRPr="009B5B62" w:rsidRDefault="009B5B62" w:rsidP="009B5B62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8767697" w14:textId="03923798" w:rsidR="009B5B62" w:rsidRDefault="009B5B62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P</w:t>
      </w:r>
      <w:r w:rsidRPr="009B5B62">
        <w:rPr>
          <w:rFonts w:ascii="Arial Narrow" w:eastAsia="Arial" w:hAnsi="Arial Narrow"/>
          <w:b w:val="0"/>
          <w:bCs/>
          <w:sz w:val="22"/>
          <w:szCs w:val="22"/>
          <w:lang w:val="sk-SK"/>
        </w:rPr>
        <w:t>odpísaný a opečiatkovaný prevádzkový poriadok schválený Regionálnym úradom verejného zdravotníctva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073154B6" w14:textId="77777777" w:rsidR="001339CE" w:rsidRPr="001339CE" w:rsidRDefault="001339CE" w:rsidP="001339CE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12178AFA" w14:textId="77777777" w:rsidR="001339CE" w:rsidRPr="001339CE" w:rsidRDefault="001339CE" w:rsidP="001339CE">
      <w:p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1339CE">
        <w:rPr>
          <w:rFonts w:ascii="Arial Narrow" w:eastAsia="Arial" w:hAnsi="Arial Narrow"/>
          <w:b w:val="0"/>
          <w:bCs/>
          <w:sz w:val="22"/>
          <w:szCs w:val="22"/>
          <w:lang w:val="sk-SK"/>
        </w:rPr>
        <w:t>Verejný obstarávateľ nepožaduje predloženie originálu alebo úradne overenej kópie vyššie uvedených dokladov.</w:t>
      </w:r>
    </w:p>
    <w:p w14:paraId="24A72D49" w14:textId="77777777" w:rsidR="006301B9" w:rsidRDefault="006301B9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406CAFF5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052AF681" w14:textId="1032045A" w:rsidR="00D0412E" w:rsidRDefault="00D0412E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54E8D3A2" w14:textId="3509D767" w:rsidR="00A7061B" w:rsidRPr="00A7061B" w:rsidRDefault="00A7061B" w:rsidP="00A7061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>Za najnižšiu cenu sa považuje súčet cien za celý predmet obstarávania (bod 3. tabuľky v I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I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. časti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Opisu predmetu zákazky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). V prípade rovnosti súčtu cien (bod 3.) bude rozhodovať ponuka uchádzača s nižšou cenou v bode 2. </w:t>
      </w:r>
    </w:p>
    <w:p w14:paraId="69DDB5DA" w14:textId="77777777" w:rsidR="00A7061B" w:rsidRDefault="00A7061B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1A0DAC4C" w14:textId="033C6031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0412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2B38C03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986D6CB" w14:textId="77777777" w:rsidR="00E71E08" w:rsidRDefault="00530404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zmluva a 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</w:p>
    <w:p w14:paraId="1A5E2F05" w14:textId="3AA25E55" w:rsidR="0093575C" w:rsidRPr="00B359CE" w:rsidRDefault="0093575C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3196679A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E71E08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4BC4A5A0" w:rsidR="000E410A" w:rsidRPr="00B359CE" w:rsidRDefault="000E410A" w:rsidP="00E71E08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jedna z predložených ponúk nebude zodpovedať určeným požia</w:t>
      </w:r>
      <w:r w:rsidR="00E71E08">
        <w:rPr>
          <w:rFonts w:ascii="Arial Narrow" w:hAnsi="Arial Narrow"/>
          <w:b w:val="0"/>
          <w:sz w:val="22"/>
          <w:szCs w:val="22"/>
          <w:lang w:val="sk-SK"/>
        </w:rPr>
        <w:t xml:space="preserve">davkám vo výzve na predkladanie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BB4BE08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0234AAF6" w14:textId="1EAABC56" w:rsidR="00B66531" w:rsidRPr="00997718" w:rsidRDefault="00982B5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bCs/>
          <w:sz w:val="22"/>
          <w:szCs w:val="22"/>
          <w:lang w:val="sk-SK" w:eastAsia="sk-SK"/>
        </w:rPr>
        <w:t>07</w:t>
      </w:r>
      <w:r w:rsidR="00A85EB5" w:rsidRPr="009316B0">
        <w:rPr>
          <w:rFonts w:ascii="Arial Narrow" w:hAnsi="Arial Narrow"/>
          <w:b w:val="0"/>
          <w:bCs/>
          <w:sz w:val="22"/>
          <w:szCs w:val="22"/>
          <w:lang w:val="sk-SK" w:eastAsia="sk-SK"/>
        </w:rPr>
        <w:t>. 0</w:t>
      </w:r>
      <w:r w:rsidR="005C1430">
        <w:rPr>
          <w:rFonts w:ascii="Arial Narrow" w:hAnsi="Arial Narrow"/>
          <w:b w:val="0"/>
          <w:bCs/>
          <w:sz w:val="22"/>
          <w:szCs w:val="22"/>
          <w:lang w:val="sk-SK" w:eastAsia="sk-SK"/>
        </w:rPr>
        <w:t>4</w:t>
      </w:r>
      <w:r w:rsidR="00F10F7F" w:rsidRPr="009316B0">
        <w:rPr>
          <w:rFonts w:ascii="Arial Narrow" w:hAnsi="Arial Narrow"/>
          <w:b w:val="0"/>
          <w:bCs/>
          <w:sz w:val="22"/>
          <w:szCs w:val="22"/>
          <w:lang w:val="sk-SK" w:eastAsia="sk-SK"/>
        </w:rPr>
        <w:t>. 2025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</w:t>
      </w:r>
    </w:p>
    <w:sectPr w:rsidR="00B66531" w:rsidRPr="00997718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D15EE" w14:textId="77777777" w:rsidR="008B0B68" w:rsidRDefault="008B0B68" w:rsidP="000F49C3">
      <w:r>
        <w:separator/>
      </w:r>
    </w:p>
  </w:endnote>
  <w:endnote w:type="continuationSeparator" w:id="0">
    <w:p w14:paraId="0C975FBB" w14:textId="77777777" w:rsidR="008B0B68" w:rsidRDefault="008B0B6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4E4A360F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38791E" w:rsidRPr="0038791E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E70FE" w14:textId="77777777" w:rsidR="008B0B68" w:rsidRDefault="008B0B68" w:rsidP="000F49C3">
      <w:r>
        <w:separator/>
      </w:r>
    </w:p>
  </w:footnote>
  <w:footnote w:type="continuationSeparator" w:id="0">
    <w:p w14:paraId="341910C5" w14:textId="77777777" w:rsidR="008B0B68" w:rsidRDefault="008B0B6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7E1D"/>
    <w:rsid w:val="00031800"/>
    <w:rsid w:val="00041142"/>
    <w:rsid w:val="00046EE5"/>
    <w:rsid w:val="000631C0"/>
    <w:rsid w:val="00063C84"/>
    <w:rsid w:val="00072A8C"/>
    <w:rsid w:val="000733E0"/>
    <w:rsid w:val="00076031"/>
    <w:rsid w:val="00077E7C"/>
    <w:rsid w:val="000831F1"/>
    <w:rsid w:val="00084FDE"/>
    <w:rsid w:val="00087947"/>
    <w:rsid w:val="000B0B3B"/>
    <w:rsid w:val="000B1601"/>
    <w:rsid w:val="000B6958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39CE"/>
    <w:rsid w:val="001446A2"/>
    <w:rsid w:val="00151695"/>
    <w:rsid w:val="001574E3"/>
    <w:rsid w:val="00172453"/>
    <w:rsid w:val="00177F37"/>
    <w:rsid w:val="00183BA4"/>
    <w:rsid w:val="0018761E"/>
    <w:rsid w:val="001A0428"/>
    <w:rsid w:val="001A40C9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1581"/>
    <w:rsid w:val="00227FAE"/>
    <w:rsid w:val="00231773"/>
    <w:rsid w:val="00234558"/>
    <w:rsid w:val="00251BA1"/>
    <w:rsid w:val="00262045"/>
    <w:rsid w:val="002647C4"/>
    <w:rsid w:val="0028504B"/>
    <w:rsid w:val="0029230A"/>
    <w:rsid w:val="002938D9"/>
    <w:rsid w:val="00295379"/>
    <w:rsid w:val="002A28E2"/>
    <w:rsid w:val="002A45DE"/>
    <w:rsid w:val="002E0559"/>
    <w:rsid w:val="002E3E81"/>
    <w:rsid w:val="002F4004"/>
    <w:rsid w:val="002F52F7"/>
    <w:rsid w:val="002F78DB"/>
    <w:rsid w:val="0031333E"/>
    <w:rsid w:val="00321273"/>
    <w:rsid w:val="003239BE"/>
    <w:rsid w:val="003257B7"/>
    <w:rsid w:val="0032778F"/>
    <w:rsid w:val="003348C6"/>
    <w:rsid w:val="00346AD5"/>
    <w:rsid w:val="00353F26"/>
    <w:rsid w:val="00360BC1"/>
    <w:rsid w:val="00362CCE"/>
    <w:rsid w:val="0037086D"/>
    <w:rsid w:val="00372964"/>
    <w:rsid w:val="00387264"/>
    <w:rsid w:val="0038791E"/>
    <w:rsid w:val="00395FB4"/>
    <w:rsid w:val="003A5661"/>
    <w:rsid w:val="003B01BB"/>
    <w:rsid w:val="003B5D65"/>
    <w:rsid w:val="003B5EA9"/>
    <w:rsid w:val="003C701C"/>
    <w:rsid w:val="003E454C"/>
    <w:rsid w:val="003F705C"/>
    <w:rsid w:val="003F786D"/>
    <w:rsid w:val="00410DED"/>
    <w:rsid w:val="00415FE4"/>
    <w:rsid w:val="00421032"/>
    <w:rsid w:val="0042524D"/>
    <w:rsid w:val="00425E8F"/>
    <w:rsid w:val="00426E96"/>
    <w:rsid w:val="00430CB4"/>
    <w:rsid w:val="00430F3C"/>
    <w:rsid w:val="0043286B"/>
    <w:rsid w:val="0043658D"/>
    <w:rsid w:val="00474853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74C9"/>
    <w:rsid w:val="00530404"/>
    <w:rsid w:val="005321DF"/>
    <w:rsid w:val="00534F89"/>
    <w:rsid w:val="005359B4"/>
    <w:rsid w:val="0053702C"/>
    <w:rsid w:val="005375DD"/>
    <w:rsid w:val="00540E84"/>
    <w:rsid w:val="005437C7"/>
    <w:rsid w:val="005523F0"/>
    <w:rsid w:val="0057580A"/>
    <w:rsid w:val="005779D2"/>
    <w:rsid w:val="00582BB7"/>
    <w:rsid w:val="00584962"/>
    <w:rsid w:val="00586DE1"/>
    <w:rsid w:val="005A7E31"/>
    <w:rsid w:val="005C1430"/>
    <w:rsid w:val="005D16FD"/>
    <w:rsid w:val="005D4F94"/>
    <w:rsid w:val="005E2069"/>
    <w:rsid w:val="005E746F"/>
    <w:rsid w:val="005F62D9"/>
    <w:rsid w:val="00603CFF"/>
    <w:rsid w:val="00610771"/>
    <w:rsid w:val="006235C1"/>
    <w:rsid w:val="006245C5"/>
    <w:rsid w:val="006301B9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1578"/>
    <w:rsid w:val="007214B6"/>
    <w:rsid w:val="007260E8"/>
    <w:rsid w:val="00772600"/>
    <w:rsid w:val="00782647"/>
    <w:rsid w:val="00797D45"/>
    <w:rsid w:val="007A0AC5"/>
    <w:rsid w:val="007C2D7A"/>
    <w:rsid w:val="007D41DF"/>
    <w:rsid w:val="007D4FFB"/>
    <w:rsid w:val="007E77A5"/>
    <w:rsid w:val="00807A08"/>
    <w:rsid w:val="00816EEE"/>
    <w:rsid w:val="00817AAE"/>
    <w:rsid w:val="00824EB7"/>
    <w:rsid w:val="00827EF0"/>
    <w:rsid w:val="008500C1"/>
    <w:rsid w:val="00860E53"/>
    <w:rsid w:val="00870AEF"/>
    <w:rsid w:val="00877D99"/>
    <w:rsid w:val="00884C53"/>
    <w:rsid w:val="008866A3"/>
    <w:rsid w:val="0088742C"/>
    <w:rsid w:val="008A7415"/>
    <w:rsid w:val="008B0B68"/>
    <w:rsid w:val="008B6B60"/>
    <w:rsid w:val="008C64B7"/>
    <w:rsid w:val="008D2863"/>
    <w:rsid w:val="008D2919"/>
    <w:rsid w:val="008E2AE9"/>
    <w:rsid w:val="008E59E3"/>
    <w:rsid w:val="008F0B4E"/>
    <w:rsid w:val="00900F63"/>
    <w:rsid w:val="0090749E"/>
    <w:rsid w:val="009114E3"/>
    <w:rsid w:val="009117C3"/>
    <w:rsid w:val="009141CB"/>
    <w:rsid w:val="00921008"/>
    <w:rsid w:val="009316B0"/>
    <w:rsid w:val="0093575C"/>
    <w:rsid w:val="009531DC"/>
    <w:rsid w:val="00954931"/>
    <w:rsid w:val="00954C62"/>
    <w:rsid w:val="00965460"/>
    <w:rsid w:val="00975BF4"/>
    <w:rsid w:val="0098149A"/>
    <w:rsid w:val="00982404"/>
    <w:rsid w:val="00982A36"/>
    <w:rsid w:val="00982B51"/>
    <w:rsid w:val="00987F87"/>
    <w:rsid w:val="00997718"/>
    <w:rsid w:val="009B38DE"/>
    <w:rsid w:val="009B505B"/>
    <w:rsid w:val="009B5B62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61B"/>
    <w:rsid w:val="00A74A4C"/>
    <w:rsid w:val="00A81FAF"/>
    <w:rsid w:val="00A85EB5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406D"/>
    <w:rsid w:val="00B07073"/>
    <w:rsid w:val="00B22AFF"/>
    <w:rsid w:val="00B24BD3"/>
    <w:rsid w:val="00B27AB6"/>
    <w:rsid w:val="00B32389"/>
    <w:rsid w:val="00B359CE"/>
    <w:rsid w:val="00B46A0D"/>
    <w:rsid w:val="00B50C46"/>
    <w:rsid w:val="00B5458C"/>
    <w:rsid w:val="00B65B35"/>
    <w:rsid w:val="00B66531"/>
    <w:rsid w:val="00B77DD7"/>
    <w:rsid w:val="00B9276D"/>
    <w:rsid w:val="00B939A0"/>
    <w:rsid w:val="00BB27FA"/>
    <w:rsid w:val="00BB47F0"/>
    <w:rsid w:val="00BC500E"/>
    <w:rsid w:val="00BC665F"/>
    <w:rsid w:val="00BD5136"/>
    <w:rsid w:val="00BF2999"/>
    <w:rsid w:val="00BF308B"/>
    <w:rsid w:val="00BF5F5F"/>
    <w:rsid w:val="00BF6F9C"/>
    <w:rsid w:val="00C0114A"/>
    <w:rsid w:val="00C04FB0"/>
    <w:rsid w:val="00C2547A"/>
    <w:rsid w:val="00C33AFA"/>
    <w:rsid w:val="00C42053"/>
    <w:rsid w:val="00C47617"/>
    <w:rsid w:val="00C70F74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0412E"/>
    <w:rsid w:val="00D14DAC"/>
    <w:rsid w:val="00D15ED0"/>
    <w:rsid w:val="00D167C7"/>
    <w:rsid w:val="00D217C1"/>
    <w:rsid w:val="00D400E5"/>
    <w:rsid w:val="00D41FF4"/>
    <w:rsid w:val="00D47C03"/>
    <w:rsid w:val="00D47DE2"/>
    <w:rsid w:val="00D567B5"/>
    <w:rsid w:val="00D63123"/>
    <w:rsid w:val="00D706BF"/>
    <w:rsid w:val="00D75C8C"/>
    <w:rsid w:val="00D877C3"/>
    <w:rsid w:val="00D94344"/>
    <w:rsid w:val="00D94660"/>
    <w:rsid w:val="00DB094C"/>
    <w:rsid w:val="00DD4EEC"/>
    <w:rsid w:val="00DD5EC1"/>
    <w:rsid w:val="00DE0B27"/>
    <w:rsid w:val="00DE7004"/>
    <w:rsid w:val="00E06B24"/>
    <w:rsid w:val="00E0700B"/>
    <w:rsid w:val="00E206A4"/>
    <w:rsid w:val="00E25210"/>
    <w:rsid w:val="00E31A73"/>
    <w:rsid w:val="00E31BEC"/>
    <w:rsid w:val="00E35924"/>
    <w:rsid w:val="00E41048"/>
    <w:rsid w:val="00E476B1"/>
    <w:rsid w:val="00E51772"/>
    <w:rsid w:val="00E57D24"/>
    <w:rsid w:val="00E60784"/>
    <w:rsid w:val="00E63DF3"/>
    <w:rsid w:val="00E65B56"/>
    <w:rsid w:val="00E71E08"/>
    <w:rsid w:val="00E84F1E"/>
    <w:rsid w:val="00EA1311"/>
    <w:rsid w:val="00ED08A4"/>
    <w:rsid w:val="00ED4F3F"/>
    <w:rsid w:val="00F10F7F"/>
    <w:rsid w:val="00F13F64"/>
    <w:rsid w:val="00F15F86"/>
    <w:rsid w:val="00F173A1"/>
    <w:rsid w:val="00F205E9"/>
    <w:rsid w:val="00F32E6A"/>
    <w:rsid w:val="00F42957"/>
    <w:rsid w:val="00F42CCB"/>
    <w:rsid w:val="00F564ED"/>
    <w:rsid w:val="00F60848"/>
    <w:rsid w:val="00F67311"/>
    <w:rsid w:val="00F7450E"/>
    <w:rsid w:val="00F8088C"/>
    <w:rsid w:val="00F80C44"/>
    <w:rsid w:val="00F813AD"/>
    <w:rsid w:val="00F94945"/>
    <w:rsid w:val="00FA65FB"/>
    <w:rsid w:val="00FC066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66130/gener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3FFF-B9F2-40A8-B860-7BA695BB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7568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Monika Maslová</cp:lastModifiedBy>
  <cp:revision>47</cp:revision>
  <cp:lastPrinted>2016-04-15T09:22:00Z</cp:lastPrinted>
  <dcterms:created xsi:type="dcterms:W3CDTF">2024-09-17T11:00:00Z</dcterms:created>
  <dcterms:modified xsi:type="dcterms:W3CDTF">2025-04-07T12:18:00Z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