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733B424A"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A9211D">
        <w:rPr>
          <w:rFonts w:ascii="Garamond" w:hAnsi="Garamond"/>
          <w:b/>
          <w:bCs/>
          <w:sz w:val="20"/>
          <w:szCs w:val="20"/>
        </w:rPr>
        <w:t>6</w:t>
      </w:r>
      <w:r w:rsidRPr="00FB65F6">
        <w:rPr>
          <w:rFonts w:ascii="Garamond" w:hAnsi="Garamond"/>
          <w:b/>
          <w:bCs/>
          <w:sz w:val="20"/>
          <w:szCs w:val="20"/>
        </w:rPr>
        <w:t xml:space="preserve">. časť: </w:t>
      </w:r>
      <w:r w:rsidR="00A9211D">
        <w:rPr>
          <w:rFonts w:ascii="Garamond" w:hAnsi="Garamond"/>
          <w:b/>
          <w:bCs/>
          <w:sz w:val="20"/>
          <w:szCs w:val="20"/>
        </w:rPr>
        <w:t>Brzdový systém</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16DE01EA"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r w:rsidR="00A9211D">
        <w:rPr>
          <w:rFonts w:ascii="Garamond" w:hAnsi="Garamond"/>
          <w:b/>
          <w:bCs/>
          <w:sz w:val="20"/>
          <w:szCs w:val="20"/>
        </w:rPr>
        <w:t>6</w:t>
      </w:r>
      <w:r w:rsidR="00345113" w:rsidRPr="00FB65F6">
        <w:rPr>
          <w:rFonts w:ascii="Garamond" w:hAnsi="Garamond"/>
          <w:b/>
          <w:bCs/>
          <w:sz w:val="20"/>
          <w:szCs w:val="20"/>
        </w:rPr>
        <w:t xml:space="preserve">. časť: </w:t>
      </w:r>
      <w:bookmarkStart w:id="0" w:name="_GoBack"/>
      <w:r w:rsidR="00A9211D">
        <w:rPr>
          <w:rFonts w:ascii="Garamond" w:hAnsi="Garamond"/>
          <w:b/>
          <w:bCs/>
          <w:sz w:val="20"/>
          <w:szCs w:val="20"/>
        </w:rPr>
        <w:t>Brzdový systém</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16C39D12"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96D74C8" w14:textId="77777777" w:rsidR="00A9211D" w:rsidRDefault="00A9211D">
      <w:pPr>
        <w:keepNext/>
        <w:keepLines/>
        <w:tabs>
          <w:tab w:val="left" w:pos="426"/>
          <w:tab w:val="left" w:pos="4500"/>
        </w:tabs>
        <w:spacing w:after="0" w:line="240" w:lineRule="auto"/>
        <w:jc w:val="center"/>
        <w:rPr>
          <w:rFonts w:ascii="Garamond" w:hAnsi="Garamond" w:cs="Arial"/>
          <w:b/>
          <w:sz w:val="20"/>
          <w:szCs w:val="20"/>
        </w:rPr>
      </w:pPr>
    </w:p>
    <w:p w14:paraId="4FD33088" w14:textId="77777777" w:rsidR="00F5075F" w:rsidRDefault="00F5075F">
      <w:pPr>
        <w:keepNext/>
        <w:keepLines/>
        <w:tabs>
          <w:tab w:val="left" w:pos="426"/>
          <w:tab w:val="left" w:pos="4500"/>
        </w:tabs>
        <w:spacing w:after="0" w:line="240" w:lineRule="auto"/>
        <w:jc w:val="center"/>
        <w:rPr>
          <w:rFonts w:ascii="Garamond" w:hAnsi="Garamond" w:cs="Arial"/>
          <w:b/>
          <w:sz w:val="20"/>
          <w:szCs w:val="20"/>
        </w:rPr>
      </w:pPr>
    </w:p>
    <w:tbl>
      <w:tblPr>
        <w:tblW w:w="9781" w:type="dxa"/>
        <w:tblInd w:w="-147" w:type="dxa"/>
        <w:tblCellMar>
          <w:left w:w="70" w:type="dxa"/>
          <w:right w:w="70" w:type="dxa"/>
        </w:tblCellMar>
        <w:tblLook w:val="04A0" w:firstRow="1" w:lastRow="0" w:firstColumn="1" w:lastColumn="0" w:noHBand="0" w:noVBand="1"/>
      </w:tblPr>
      <w:tblGrid>
        <w:gridCol w:w="4327"/>
        <w:gridCol w:w="1911"/>
        <w:gridCol w:w="1701"/>
        <w:gridCol w:w="1842"/>
      </w:tblGrid>
      <w:tr w:rsidR="00A9211D" w:rsidRPr="00DE023B" w14:paraId="7DBA018F" w14:textId="77777777" w:rsidTr="00A9211D">
        <w:trPr>
          <w:trHeight w:val="255"/>
        </w:trPr>
        <w:tc>
          <w:tcPr>
            <w:tcW w:w="4327"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4585843" w14:textId="77777777" w:rsidR="00A9211D" w:rsidRPr="00DE023B" w:rsidRDefault="00A9211D" w:rsidP="00411852">
            <w:pPr>
              <w:spacing w:after="0" w:line="240" w:lineRule="auto"/>
              <w:jc w:val="center"/>
              <w:rPr>
                <w:rFonts w:ascii="Garamond" w:eastAsia="Times New Roman" w:hAnsi="Garamond" w:cs="Arial"/>
                <w:b/>
                <w:bCs/>
                <w:sz w:val="20"/>
                <w:szCs w:val="20"/>
              </w:rPr>
            </w:pPr>
            <w:r w:rsidRPr="00DE023B">
              <w:rPr>
                <w:rFonts w:ascii="Garamond" w:eastAsia="Times New Roman" w:hAnsi="Garamond" w:cs="Arial"/>
                <w:b/>
                <w:bCs/>
                <w:sz w:val="20"/>
                <w:szCs w:val="20"/>
              </w:rPr>
              <w:t>Názov tovaru</w:t>
            </w:r>
          </w:p>
        </w:tc>
        <w:tc>
          <w:tcPr>
            <w:tcW w:w="191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7C3EFF64" w14:textId="77777777" w:rsidR="00A9211D" w:rsidRPr="00DE023B" w:rsidRDefault="00A9211D" w:rsidP="00411852">
            <w:pPr>
              <w:spacing w:after="0" w:line="240" w:lineRule="auto"/>
              <w:jc w:val="center"/>
              <w:rPr>
                <w:rFonts w:ascii="Garamond" w:eastAsia="Times New Roman" w:hAnsi="Garamond" w:cs="Arial"/>
                <w:b/>
                <w:bCs/>
                <w:sz w:val="20"/>
                <w:szCs w:val="20"/>
              </w:rPr>
            </w:pPr>
            <w:r w:rsidRPr="00DE023B">
              <w:rPr>
                <w:rFonts w:ascii="Garamond" w:eastAsia="Times New Roman" w:hAnsi="Garamond" w:cs="Arial"/>
                <w:b/>
                <w:bCs/>
                <w:sz w:val="20"/>
                <w:szCs w:val="20"/>
              </w:rPr>
              <w:t>Predpokladané množstvo</w:t>
            </w:r>
          </w:p>
        </w:tc>
        <w:tc>
          <w:tcPr>
            <w:tcW w:w="170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7D8A5AD" w14:textId="77777777" w:rsidR="00A9211D" w:rsidRPr="00DE023B" w:rsidRDefault="00A9211D" w:rsidP="00411852">
            <w:pPr>
              <w:spacing w:after="0" w:line="240" w:lineRule="auto"/>
              <w:jc w:val="center"/>
              <w:rPr>
                <w:rFonts w:ascii="Garamond" w:eastAsia="Times New Roman" w:hAnsi="Garamond" w:cs="Arial"/>
                <w:b/>
                <w:bCs/>
                <w:sz w:val="20"/>
                <w:szCs w:val="20"/>
              </w:rPr>
            </w:pPr>
            <w:r w:rsidRPr="00DE023B">
              <w:rPr>
                <w:rFonts w:ascii="Garamond" w:eastAsia="Times New Roman" w:hAnsi="Garamond" w:cs="Arial"/>
                <w:b/>
                <w:bCs/>
                <w:sz w:val="20"/>
                <w:szCs w:val="20"/>
              </w:rPr>
              <w:t>Cena za 1 ks v EUR bez DPH</w:t>
            </w:r>
          </w:p>
        </w:tc>
        <w:tc>
          <w:tcPr>
            <w:tcW w:w="1842"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6D58AB8C" w14:textId="77777777" w:rsidR="00A9211D" w:rsidRPr="00DE023B" w:rsidRDefault="00A9211D" w:rsidP="00411852">
            <w:pPr>
              <w:spacing w:after="0" w:line="240" w:lineRule="auto"/>
              <w:jc w:val="center"/>
              <w:rPr>
                <w:rFonts w:ascii="Garamond" w:eastAsia="Times New Roman" w:hAnsi="Garamond" w:cs="Arial"/>
                <w:b/>
                <w:bCs/>
                <w:sz w:val="20"/>
                <w:szCs w:val="20"/>
              </w:rPr>
            </w:pPr>
            <w:r w:rsidRPr="00DE023B">
              <w:rPr>
                <w:rFonts w:ascii="Garamond" w:eastAsia="Times New Roman" w:hAnsi="Garamond" w:cs="Arial"/>
                <w:b/>
                <w:bCs/>
                <w:sz w:val="20"/>
                <w:szCs w:val="20"/>
              </w:rPr>
              <w:t>Celková cena v EUR bez DPH</w:t>
            </w:r>
          </w:p>
        </w:tc>
      </w:tr>
      <w:tr w:rsidR="00A9211D" w:rsidRPr="00DE023B" w14:paraId="3D56AF9D" w14:textId="77777777" w:rsidTr="00A9211D">
        <w:trPr>
          <w:trHeight w:val="255"/>
        </w:trPr>
        <w:tc>
          <w:tcPr>
            <w:tcW w:w="432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3DAB3C6"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Strmeň  pera A9013250947/A9063250747</w:t>
            </w:r>
          </w:p>
        </w:tc>
        <w:tc>
          <w:tcPr>
            <w:tcW w:w="1911" w:type="dxa"/>
            <w:tcBorders>
              <w:top w:val="single" w:sz="8" w:space="0" w:color="auto"/>
              <w:left w:val="nil"/>
              <w:bottom w:val="single" w:sz="4" w:space="0" w:color="auto"/>
              <w:right w:val="single" w:sz="4" w:space="0" w:color="auto"/>
            </w:tcBorders>
            <w:shd w:val="clear" w:color="auto" w:fill="auto"/>
            <w:noWrap/>
            <w:vAlign w:val="center"/>
            <w:hideMark/>
          </w:tcPr>
          <w:p w14:paraId="582F9143"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1</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33E4AB7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14:paraId="669355FD"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03FB6031"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419BF8AB" w14:textId="77777777" w:rsidR="00A9211D" w:rsidRPr="009B7BD2" w:rsidRDefault="00A9211D" w:rsidP="00411852">
            <w:pPr>
              <w:spacing w:after="0" w:line="240" w:lineRule="auto"/>
              <w:rPr>
                <w:rFonts w:ascii="Garamond" w:eastAsia="Times New Roman" w:hAnsi="Garamond" w:cs="Arial"/>
                <w:sz w:val="20"/>
                <w:szCs w:val="20"/>
              </w:rPr>
            </w:pPr>
            <w:proofErr w:type="spellStart"/>
            <w:r w:rsidRPr="009B7BD2">
              <w:rPr>
                <w:rFonts w:ascii="Garamond" w:eastAsia="Times New Roman" w:hAnsi="Garamond" w:cs="Arial"/>
                <w:sz w:val="20"/>
                <w:szCs w:val="20"/>
              </w:rPr>
              <w:t>Brzd.kotúč</w:t>
            </w:r>
            <w:proofErr w:type="spellEnd"/>
            <w:r w:rsidRPr="009B7BD2">
              <w:rPr>
                <w:rFonts w:ascii="Garamond" w:eastAsia="Times New Roman" w:hAnsi="Garamond" w:cs="Arial"/>
                <w:sz w:val="20"/>
                <w:szCs w:val="20"/>
              </w:rPr>
              <w:t xml:space="preserve"> </w:t>
            </w:r>
            <w:proofErr w:type="spellStart"/>
            <w:r w:rsidRPr="009B7BD2">
              <w:rPr>
                <w:rFonts w:ascii="Garamond" w:eastAsia="Times New Roman" w:hAnsi="Garamond" w:cs="Arial"/>
                <w:sz w:val="20"/>
                <w:szCs w:val="20"/>
              </w:rPr>
              <w:t>zad</w:t>
            </w:r>
            <w:proofErr w:type="spellEnd"/>
            <w:r w:rsidRPr="009B7BD2">
              <w:rPr>
                <w:rFonts w:ascii="Garamond" w:eastAsia="Times New Roman" w:hAnsi="Garamond" w:cs="Arial"/>
                <w:sz w:val="20"/>
                <w:szCs w:val="20"/>
              </w:rPr>
              <w:t>. A90423051207/A9044230312</w:t>
            </w:r>
          </w:p>
        </w:tc>
        <w:tc>
          <w:tcPr>
            <w:tcW w:w="1911" w:type="dxa"/>
            <w:tcBorders>
              <w:top w:val="nil"/>
              <w:left w:val="nil"/>
              <w:bottom w:val="single" w:sz="4" w:space="0" w:color="auto"/>
              <w:right w:val="single" w:sz="4" w:space="0" w:color="auto"/>
            </w:tcBorders>
            <w:shd w:val="clear" w:color="auto" w:fill="auto"/>
            <w:noWrap/>
            <w:vAlign w:val="center"/>
            <w:hideMark/>
          </w:tcPr>
          <w:p w14:paraId="179FA1C6"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20DE0C0"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49740BF4"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09A4878E"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5DA5F564" w14:textId="77777777" w:rsidR="00A9211D" w:rsidRPr="009B7BD2" w:rsidRDefault="00A9211D" w:rsidP="00411852">
            <w:pPr>
              <w:spacing w:after="0" w:line="240" w:lineRule="auto"/>
              <w:rPr>
                <w:rFonts w:ascii="Garamond" w:eastAsia="Times New Roman" w:hAnsi="Garamond" w:cs="Arial"/>
                <w:sz w:val="20"/>
                <w:szCs w:val="20"/>
              </w:rPr>
            </w:pPr>
            <w:proofErr w:type="spellStart"/>
            <w:r w:rsidRPr="009B7BD2">
              <w:rPr>
                <w:rFonts w:ascii="Garamond" w:eastAsia="Times New Roman" w:hAnsi="Garamond" w:cs="Arial"/>
                <w:sz w:val="20"/>
                <w:szCs w:val="20"/>
              </w:rPr>
              <w:t>Brzd</w:t>
            </w:r>
            <w:proofErr w:type="spellEnd"/>
            <w:r w:rsidRPr="009B7BD2">
              <w:rPr>
                <w:rFonts w:ascii="Garamond" w:eastAsia="Times New Roman" w:hAnsi="Garamond" w:cs="Arial"/>
                <w:sz w:val="20"/>
                <w:szCs w:val="20"/>
              </w:rPr>
              <w:t xml:space="preserve"> </w:t>
            </w:r>
            <w:proofErr w:type="spellStart"/>
            <w:r w:rsidRPr="009B7BD2">
              <w:rPr>
                <w:rFonts w:ascii="Garamond" w:eastAsia="Times New Roman" w:hAnsi="Garamond" w:cs="Arial"/>
                <w:sz w:val="20"/>
                <w:szCs w:val="20"/>
              </w:rPr>
              <w:t>dostičky</w:t>
            </w:r>
            <w:proofErr w:type="spellEnd"/>
            <w:r w:rsidRPr="009B7BD2">
              <w:rPr>
                <w:rFonts w:ascii="Garamond" w:eastAsia="Times New Roman" w:hAnsi="Garamond" w:cs="Arial"/>
                <w:sz w:val="20"/>
                <w:szCs w:val="20"/>
              </w:rPr>
              <w:t xml:space="preserve"> </w:t>
            </w:r>
            <w:proofErr w:type="spellStart"/>
            <w:r w:rsidRPr="009B7BD2">
              <w:rPr>
                <w:rFonts w:ascii="Garamond" w:eastAsia="Times New Roman" w:hAnsi="Garamond" w:cs="Arial"/>
                <w:sz w:val="20"/>
                <w:szCs w:val="20"/>
              </w:rPr>
              <w:t>pr</w:t>
            </w:r>
            <w:proofErr w:type="spellEnd"/>
            <w:r w:rsidRPr="009B7BD2">
              <w:rPr>
                <w:rFonts w:ascii="Garamond" w:eastAsia="Times New Roman" w:hAnsi="Garamond" w:cs="Arial"/>
                <w:sz w:val="20"/>
                <w:szCs w:val="20"/>
              </w:rPr>
              <w:t>. A0084204620</w:t>
            </w:r>
          </w:p>
        </w:tc>
        <w:tc>
          <w:tcPr>
            <w:tcW w:w="1911" w:type="dxa"/>
            <w:tcBorders>
              <w:top w:val="nil"/>
              <w:left w:val="nil"/>
              <w:bottom w:val="single" w:sz="4" w:space="0" w:color="auto"/>
              <w:right w:val="single" w:sz="4" w:space="0" w:color="auto"/>
            </w:tcBorders>
            <w:shd w:val="clear" w:color="auto" w:fill="auto"/>
            <w:noWrap/>
            <w:vAlign w:val="center"/>
            <w:hideMark/>
          </w:tcPr>
          <w:p w14:paraId="42C3E302"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6FE889D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46FD975C"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7D70756D"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07F111FB" w14:textId="77777777" w:rsidR="00A9211D" w:rsidRPr="009B7BD2" w:rsidRDefault="00A9211D" w:rsidP="00411852">
            <w:pPr>
              <w:spacing w:after="0" w:line="240" w:lineRule="auto"/>
              <w:rPr>
                <w:rFonts w:ascii="Garamond" w:eastAsia="Times New Roman" w:hAnsi="Garamond" w:cs="Arial"/>
                <w:sz w:val="20"/>
                <w:szCs w:val="20"/>
              </w:rPr>
            </w:pPr>
            <w:proofErr w:type="spellStart"/>
            <w:r w:rsidRPr="009B7BD2">
              <w:rPr>
                <w:rFonts w:ascii="Garamond" w:eastAsia="Times New Roman" w:hAnsi="Garamond" w:cs="Arial"/>
                <w:sz w:val="20"/>
                <w:szCs w:val="20"/>
              </w:rPr>
              <w:t>Brzd.hadica</w:t>
            </w:r>
            <w:proofErr w:type="spellEnd"/>
            <w:r w:rsidRPr="009B7BD2">
              <w:rPr>
                <w:rFonts w:ascii="Garamond" w:eastAsia="Times New Roman" w:hAnsi="Garamond" w:cs="Arial"/>
                <w:sz w:val="20"/>
                <w:szCs w:val="20"/>
              </w:rPr>
              <w:t xml:space="preserve">  A9014280435</w:t>
            </w:r>
          </w:p>
        </w:tc>
        <w:tc>
          <w:tcPr>
            <w:tcW w:w="1911" w:type="dxa"/>
            <w:tcBorders>
              <w:top w:val="nil"/>
              <w:left w:val="nil"/>
              <w:bottom w:val="single" w:sz="4" w:space="0" w:color="auto"/>
              <w:right w:val="single" w:sz="4" w:space="0" w:color="auto"/>
            </w:tcBorders>
            <w:shd w:val="clear" w:color="auto" w:fill="auto"/>
            <w:noWrap/>
            <w:vAlign w:val="center"/>
            <w:hideMark/>
          </w:tcPr>
          <w:p w14:paraId="464B70EC"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737E40D"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1634AA2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51E81A48"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5E55DFF1"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Poduška-</w:t>
            </w:r>
            <w:proofErr w:type="spellStart"/>
            <w:r w:rsidRPr="009B7BD2">
              <w:rPr>
                <w:rFonts w:ascii="Garamond" w:eastAsia="Times New Roman" w:hAnsi="Garamond" w:cs="Arial"/>
                <w:sz w:val="20"/>
                <w:szCs w:val="20"/>
              </w:rPr>
              <w:t>vlnovec</w:t>
            </w:r>
            <w:proofErr w:type="spellEnd"/>
            <w:r w:rsidRPr="009B7BD2">
              <w:rPr>
                <w:rFonts w:ascii="Garamond" w:eastAsia="Times New Roman" w:hAnsi="Garamond" w:cs="Arial"/>
                <w:sz w:val="20"/>
                <w:szCs w:val="20"/>
              </w:rPr>
              <w:t xml:space="preserve"> pérovania  A6283230092</w:t>
            </w:r>
          </w:p>
        </w:tc>
        <w:tc>
          <w:tcPr>
            <w:tcW w:w="1911" w:type="dxa"/>
            <w:tcBorders>
              <w:top w:val="nil"/>
              <w:left w:val="nil"/>
              <w:bottom w:val="single" w:sz="4" w:space="0" w:color="auto"/>
              <w:right w:val="single" w:sz="4" w:space="0" w:color="auto"/>
            </w:tcBorders>
            <w:shd w:val="clear" w:color="auto" w:fill="auto"/>
            <w:noWrap/>
            <w:vAlign w:val="center"/>
            <w:hideMark/>
          </w:tcPr>
          <w:p w14:paraId="1F7CF872"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214</w:t>
            </w:r>
          </w:p>
        </w:tc>
        <w:tc>
          <w:tcPr>
            <w:tcW w:w="1701" w:type="dxa"/>
            <w:tcBorders>
              <w:top w:val="nil"/>
              <w:left w:val="nil"/>
              <w:bottom w:val="single" w:sz="4" w:space="0" w:color="auto"/>
              <w:right w:val="single" w:sz="4" w:space="0" w:color="auto"/>
            </w:tcBorders>
            <w:shd w:val="clear" w:color="auto" w:fill="auto"/>
            <w:noWrap/>
            <w:vAlign w:val="center"/>
            <w:hideMark/>
          </w:tcPr>
          <w:p w14:paraId="1853E35D"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6546383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5E3D4692"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504516BE"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Domček -uloženie  A6283260060</w:t>
            </w:r>
          </w:p>
        </w:tc>
        <w:tc>
          <w:tcPr>
            <w:tcW w:w="1911" w:type="dxa"/>
            <w:tcBorders>
              <w:top w:val="nil"/>
              <w:left w:val="nil"/>
              <w:bottom w:val="single" w:sz="4" w:space="0" w:color="auto"/>
              <w:right w:val="single" w:sz="4" w:space="0" w:color="auto"/>
            </w:tcBorders>
            <w:shd w:val="clear" w:color="auto" w:fill="auto"/>
            <w:noWrap/>
            <w:vAlign w:val="center"/>
            <w:hideMark/>
          </w:tcPr>
          <w:p w14:paraId="05866805"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0513800"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16DE039C"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71FAE0D4"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6FC93324"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Brzdový kotúč predný A902421091264</w:t>
            </w:r>
          </w:p>
        </w:tc>
        <w:tc>
          <w:tcPr>
            <w:tcW w:w="1911" w:type="dxa"/>
            <w:tcBorders>
              <w:top w:val="nil"/>
              <w:left w:val="nil"/>
              <w:bottom w:val="single" w:sz="4" w:space="0" w:color="auto"/>
              <w:right w:val="single" w:sz="4" w:space="0" w:color="auto"/>
            </w:tcBorders>
            <w:shd w:val="clear" w:color="auto" w:fill="auto"/>
            <w:noWrap/>
            <w:vAlign w:val="center"/>
            <w:hideMark/>
          </w:tcPr>
          <w:p w14:paraId="14BBDFB2"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06816DA2"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2E579BA5"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32BDBC56"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409027B1"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Brzdové doštičky  zadné A0084204920</w:t>
            </w:r>
          </w:p>
        </w:tc>
        <w:tc>
          <w:tcPr>
            <w:tcW w:w="1911" w:type="dxa"/>
            <w:tcBorders>
              <w:top w:val="nil"/>
              <w:left w:val="nil"/>
              <w:bottom w:val="single" w:sz="4" w:space="0" w:color="auto"/>
              <w:right w:val="single" w:sz="4" w:space="0" w:color="auto"/>
            </w:tcBorders>
            <w:shd w:val="clear" w:color="auto" w:fill="auto"/>
            <w:noWrap/>
            <w:vAlign w:val="center"/>
            <w:hideMark/>
          </w:tcPr>
          <w:p w14:paraId="754F82BF"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0657C43D"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70100C8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68C52BA0"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33EEFDB1"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Snímač </w:t>
            </w:r>
            <w:proofErr w:type="spellStart"/>
            <w:r w:rsidRPr="009B7BD2">
              <w:rPr>
                <w:rFonts w:ascii="Garamond" w:eastAsia="Times New Roman" w:hAnsi="Garamond" w:cs="Arial"/>
                <w:sz w:val="20"/>
                <w:szCs w:val="20"/>
              </w:rPr>
              <w:t>op</w:t>
            </w:r>
            <w:proofErr w:type="spellEnd"/>
            <w:r w:rsidRPr="009B7BD2">
              <w:rPr>
                <w:rFonts w:ascii="Garamond" w:eastAsia="Times New Roman" w:hAnsi="Garamond" w:cs="Arial"/>
                <w:sz w:val="20"/>
                <w:szCs w:val="20"/>
              </w:rPr>
              <w:t>. bŕzd A9015400117/A9015400017</w:t>
            </w:r>
          </w:p>
        </w:tc>
        <w:tc>
          <w:tcPr>
            <w:tcW w:w="1911" w:type="dxa"/>
            <w:tcBorders>
              <w:top w:val="nil"/>
              <w:left w:val="nil"/>
              <w:bottom w:val="single" w:sz="4" w:space="0" w:color="auto"/>
              <w:right w:val="single" w:sz="4" w:space="0" w:color="auto"/>
            </w:tcBorders>
            <w:shd w:val="clear" w:color="auto" w:fill="auto"/>
            <w:noWrap/>
            <w:vAlign w:val="center"/>
            <w:hideMark/>
          </w:tcPr>
          <w:p w14:paraId="72874FF5"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4C134FF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1BF03244"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6501679A"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6F27798E"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Snímač opotreb bŕzd  A9015400317</w:t>
            </w:r>
          </w:p>
        </w:tc>
        <w:tc>
          <w:tcPr>
            <w:tcW w:w="1911" w:type="dxa"/>
            <w:tcBorders>
              <w:top w:val="nil"/>
              <w:left w:val="nil"/>
              <w:bottom w:val="single" w:sz="4" w:space="0" w:color="auto"/>
              <w:right w:val="single" w:sz="4" w:space="0" w:color="auto"/>
            </w:tcBorders>
            <w:shd w:val="clear" w:color="auto" w:fill="auto"/>
            <w:noWrap/>
            <w:vAlign w:val="center"/>
            <w:hideMark/>
          </w:tcPr>
          <w:p w14:paraId="586F3405"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3D2B9256"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4B99C402"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76A41B21"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01F067D9"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Hlavný brzdič-ventil  A0034319506</w:t>
            </w:r>
          </w:p>
        </w:tc>
        <w:tc>
          <w:tcPr>
            <w:tcW w:w="1911" w:type="dxa"/>
            <w:tcBorders>
              <w:top w:val="nil"/>
              <w:left w:val="nil"/>
              <w:bottom w:val="single" w:sz="4" w:space="0" w:color="auto"/>
              <w:right w:val="single" w:sz="4" w:space="0" w:color="auto"/>
            </w:tcBorders>
            <w:shd w:val="clear" w:color="auto" w:fill="auto"/>
            <w:noWrap/>
            <w:vAlign w:val="center"/>
            <w:hideMark/>
          </w:tcPr>
          <w:p w14:paraId="7ECCAEB2"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D56CBB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55D20F5C"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3D6B1227"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10B1B19C"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Hadica brzdová  1800 mm A6284201848</w:t>
            </w:r>
          </w:p>
        </w:tc>
        <w:tc>
          <w:tcPr>
            <w:tcW w:w="1911" w:type="dxa"/>
            <w:tcBorders>
              <w:top w:val="nil"/>
              <w:left w:val="nil"/>
              <w:bottom w:val="single" w:sz="4" w:space="0" w:color="auto"/>
              <w:right w:val="single" w:sz="4" w:space="0" w:color="auto"/>
            </w:tcBorders>
            <w:shd w:val="clear" w:color="auto" w:fill="auto"/>
            <w:noWrap/>
            <w:vAlign w:val="center"/>
            <w:hideMark/>
          </w:tcPr>
          <w:p w14:paraId="0BF76173"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14:paraId="2C623FF6"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503C8946"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70436462"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4FA44632"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Brzdový kotúč p. A9434210312/A9434210412</w:t>
            </w:r>
          </w:p>
        </w:tc>
        <w:tc>
          <w:tcPr>
            <w:tcW w:w="1911" w:type="dxa"/>
            <w:tcBorders>
              <w:top w:val="nil"/>
              <w:left w:val="nil"/>
              <w:bottom w:val="single" w:sz="4" w:space="0" w:color="auto"/>
              <w:right w:val="single" w:sz="4" w:space="0" w:color="auto"/>
            </w:tcBorders>
            <w:shd w:val="clear" w:color="auto" w:fill="auto"/>
            <w:noWrap/>
            <w:vAlign w:val="center"/>
            <w:hideMark/>
          </w:tcPr>
          <w:p w14:paraId="6C25D8CF"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38</w:t>
            </w:r>
          </w:p>
        </w:tc>
        <w:tc>
          <w:tcPr>
            <w:tcW w:w="1701" w:type="dxa"/>
            <w:tcBorders>
              <w:top w:val="nil"/>
              <w:left w:val="nil"/>
              <w:bottom w:val="single" w:sz="4" w:space="0" w:color="auto"/>
              <w:right w:val="single" w:sz="4" w:space="0" w:color="auto"/>
            </w:tcBorders>
            <w:shd w:val="clear" w:color="auto" w:fill="auto"/>
            <w:noWrap/>
            <w:vAlign w:val="center"/>
            <w:hideMark/>
          </w:tcPr>
          <w:p w14:paraId="02FB6594"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0174934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38EA7D6D"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646F0705"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Brzdový valec predný A6284200224</w:t>
            </w:r>
          </w:p>
        </w:tc>
        <w:tc>
          <w:tcPr>
            <w:tcW w:w="1911" w:type="dxa"/>
            <w:tcBorders>
              <w:top w:val="nil"/>
              <w:left w:val="nil"/>
              <w:bottom w:val="single" w:sz="4" w:space="0" w:color="auto"/>
              <w:right w:val="single" w:sz="4" w:space="0" w:color="auto"/>
            </w:tcBorders>
            <w:shd w:val="clear" w:color="auto" w:fill="auto"/>
            <w:noWrap/>
            <w:vAlign w:val="center"/>
            <w:hideMark/>
          </w:tcPr>
          <w:p w14:paraId="126D288E"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00B98BF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693BDF1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1B03F71A"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16DA9E82"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Strmeň brz.P.pred.1,4 </w:t>
            </w:r>
            <w:proofErr w:type="spellStart"/>
            <w:r w:rsidRPr="009B7BD2">
              <w:rPr>
                <w:rFonts w:ascii="Garamond" w:eastAsia="Times New Roman" w:hAnsi="Garamond" w:cs="Arial"/>
                <w:sz w:val="20"/>
                <w:szCs w:val="20"/>
              </w:rPr>
              <w:t>nápr</w:t>
            </w:r>
            <w:proofErr w:type="spellEnd"/>
            <w:r w:rsidRPr="009B7BD2">
              <w:rPr>
                <w:rFonts w:ascii="Garamond" w:eastAsia="Times New Roman" w:hAnsi="Garamond" w:cs="Arial"/>
                <w:sz w:val="20"/>
                <w:szCs w:val="20"/>
              </w:rPr>
              <w:t>. A0044208883</w:t>
            </w:r>
          </w:p>
        </w:tc>
        <w:tc>
          <w:tcPr>
            <w:tcW w:w="1911" w:type="dxa"/>
            <w:tcBorders>
              <w:top w:val="nil"/>
              <w:left w:val="nil"/>
              <w:bottom w:val="single" w:sz="4" w:space="0" w:color="auto"/>
              <w:right w:val="single" w:sz="4" w:space="0" w:color="auto"/>
            </w:tcBorders>
            <w:shd w:val="clear" w:color="auto" w:fill="auto"/>
            <w:noWrap/>
            <w:vAlign w:val="center"/>
            <w:hideMark/>
          </w:tcPr>
          <w:p w14:paraId="5BFFA7E2"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9D86DF4"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7EFF1635"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1D328872"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022B6010"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Brzdový kotúč z. A9424230112/A9424230012</w:t>
            </w:r>
          </w:p>
        </w:tc>
        <w:tc>
          <w:tcPr>
            <w:tcW w:w="1911" w:type="dxa"/>
            <w:tcBorders>
              <w:top w:val="nil"/>
              <w:left w:val="nil"/>
              <w:bottom w:val="single" w:sz="4" w:space="0" w:color="auto"/>
              <w:right w:val="single" w:sz="4" w:space="0" w:color="auto"/>
            </w:tcBorders>
            <w:shd w:val="clear" w:color="auto" w:fill="auto"/>
            <w:noWrap/>
            <w:vAlign w:val="center"/>
            <w:hideMark/>
          </w:tcPr>
          <w:p w14:paraId="55110174"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56</w:t>
            </w:r>
          </w:p>
        </w:tc>
        <w:tc>
          <w:tcPr>
            <w:tcW w:w="1701" w:type="dxa"/>
            <w:tcBorders>
              <w:top w:val="nil"/>
              <w:left w:val="nil"/>
              <w:bottom w:val="single" w:sz="4" w:space="0" w:color="auto"/>
              <w:right w:val="single" w:sz="4" w:space="0" w:color="auto"/>
            </w:tcBorders>
            <w:shd w:val="clear" w:color="auto" w:fill="auto"/>
            <w:noWrap/>
            <w:vAlign w:val="center"/>
            <w:hideMark/>
          </w:tcPr>
          <w:p w14:paraId="0871AF77"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0C651710"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5A384358"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36A949C4"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Strmeň </w:t>
            </w:r>
            <w:proofErr w:type="spellStart"/>
            <w:r w:rsidRPr="009B7BD2">
              <w:rPr>
                <w:rFonts w:ascii="Garamond" w:eastAsia="Times New Roman" w:hAnsi="Garamond" w:cs="Arial"/>
                <w:sz w:val="20"/>
                <w:szCs w:val="20"/>
              </w:rPr>
              <w:t>brz</w:t>
            </w:r>
            <w:proofErr w:type="spellEnd"/>
            <w:r w:rsidRPr="009B7BD2">
              <w:rPr>
                <w:rFonts w:ascii="Garamond" w:eastAsia="Times New Roman" w:hAnsi="Garamond" w:cs="Arial"/>
                <w:sz w:val="20"/>
                <w:szCs w:val="20"/>
              </w:rPr>
              <w:t xml:space="preserve">. </w:t>
            </w:r>
            <w:proofErr w:type="spellStart"/>
            <w:r w:rsidRPr="009B7BD2">
              <w:rPr>
                <w:rFonts w:ascii="Garamond" w:eastAsia="Times New Roman" w:hAnsi="Garamond" w:cs="Arial"/>
                <w:sz w:val="20"/>
                <w:szCs w:val="20"/>
              </w:rPr>
              <w:t>pr</w:t>
            </w:r>
            <w:proofErr w:type="spellEnd"/>
            <w:r w:rsidRPr="009B7BD2">
              <w:rPr>
                <w:rFonts w:ascii="Garamond" w:eastAsia="Times New Roman" w:hAnsi="Garamond" w:cs="Arial"/>
                <w:sz w:val="20"/>
                <w:szCs w:val="20"/>
              </w:rPr>
              <w:t>. A0024205183/A0054201183</w:t>
            </w:r>
          </w:p>
        </w:tc>
        <w:tc>
          <w:tcPr>
            <w:tcW w:w="1911" w:type="dxa"/>
            <w:tcBorders>
              <w:top w:val="nil"/>
              <w:left w:val="nil"/>
              <w:bottom w:val="single" w:sz="4" w:space="0" w:color="auto"/>
              <w:right w:val="single" w:sz="4" w:space="0" w:color="auto"/>
            </w:tcBorders>
            <w:shd w:val="clear" w:color="auto" w:fill="auto"/>
            <w:noWrap/>
            <w:vAlign w:val="center"/>
            <w:hideMark/>
          </w:tcPr>
          <w:p w14:paraId="177FC191"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14:paraId="1B31979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5891535F"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5D9BC1D7"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3B7C6D06"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Strmeň </w:t>
            </w:r>
            <w:proofErr w:type="spellStart"/>
            <w:r w:rsidRPr="009B7BD2">
              <w:rPr>
                <w:rFonts w:ascii="Garamond" w:eastAsia="Times New Roman" w:hAnsi="Garamond" w:cs="Arial"/>
                <w:sz w:val="20"/>
                <w:szCs w:val="20"/>
              </w:rPr>
              <w:t>brz</w:t>
            </w:r>
            <w:proofErr w:type="spellEnd"/>
            <w:r w:rsidRPr="009B7BD2">
              <w:rPr>
                <w:rFonts w:ascii="Garamond" w:eastAsia="Times New Roman" w:hAnsi="Garamond" w:cs="Arial"/>
                <w:sz w:val="20"/>
                <w:szCs w:val="20"/>
              </w:rPr>
              <w:t>. ľavý A0024205283/A0054201283</w:t>
            </w:r>
          </w:p>
        </w:tc>
        <w:tc>
          <w:tcPr>
            <w:tcW w:w="1911" w:type="dxa"/>
            <w:tcBorders>
              <w:top w:val="nil"/>
              <w:left w:val="nil"/>
              <w:bottom w:val="single" w:sz="4" w:space="0" w:color="auto"/>
              <w:right w:val="single" w:sz="4" w:space="0" w:color="auto"/>
            </w:tcBorders>
            <w:shd w:val="clear" w:color="auto" w:fill="auto"/>
            <w:noWrap/>
            <w:vAlign w:val="center"/>
            <w:hideMark/>
          </w:tcPr>
          <w:p w14:paraId="2F6F41CB"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A3BCE94"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4370E8B2"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436CB364"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3B683264"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Brzdový valec A0084204824</w:t>
            </w:r>
          </w:p>
        </w:tc>
        <w:tc>
          <w:tcPr>
            <w:tcW w:w="1911" w:type="dxa"/>
            <w:tcBorders>
              <w:top w:val="nil"/>
              <w:left w:val="nil"/>
              <w:bottom w:val="single" w:sz="4" w:space="0" w:color="auto"/>
              <w:right w:val="single" w:sz="4" w:space="0" w:color="auto"/>
            </w:tcBorders>
            <w:shd w:val="clear" w:color="auto" w:fill="auto"/>
            <w:noWrap/>
            <w:vAlign w:val="center"/>
            <w:hideMark/>
          </w:tcPr>
          <w:p w14:paraId="276205A4"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767F19D9"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050F9FA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2A0E3486"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3C2AE87B"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Strmeň brz.Ľ.pred.1,4 </w:t>
            </w:r>
            <w:proofErr w:type="spellStart"/>
            <w:r w:rsidRPr="009B7BD2">
              <w:rPr>
                <w:rFonts w:ascii="Garamond" w:eastAsia="Times New Roman" w:hAnsi="Garamond" w:cs="Arial"/>
                <w:sz w:val="20"/>
                <w:szCs w:val="20"/>
              </w:rPr>
              <w:t>nápr</w:t>
            </w:r>
            <w:proofErr w:type="spellEnd"/>
            <w:r w:rsidRPr="009B7BD2">
              <w:rPr>
                <w:rFonts w:ascii="Garamond" w:eastAsia="Times New Roman" w:hAnsi="Garamond" w:cs="Arial"/>
                <w:sz w:val="20"/>
                <w:szCs w:val="20"/>
              </w:rPr>
              <w:t>. A0044208783</w:t>
            </w:r>
          </w:p>
        </w:tc>
        <w:tc>
          <w:tcPr>
            <w:tcW w:w="1911" w:type="dxa"/>
            <w:tcBorders>
              <w:top w:val="nil"/>
              <w:left w:val="nil"/>
              <w:bottom w:val="single" w:sz="4" w:space="0" w:color="auto"/>
              <w:right w:val="single" w:sz="4" w:space="0" w:color="auto"/>
            </w:tcBorders>
            <w:shd w:val="clear" w:color="auto" w:fill="auto"/>
            <w:noWrap/>
            <w:vAlign w:val="center"/>
            <w:hideMark/>
          </w:tcPr>
          <w:p w14:paraId="552598C4"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E626821"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4041740F"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1D1C7676"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7E01C0AF"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Hlava A4570100821/A4570101621</w:t>
            </w:r>
          </w:p>
        </w:tc>
        <w:tc>
          <w:tcPr>
            <w:tcW w:w="1911" w:type="dxa"/>
            <w:tcBorders>
              <w:top w:val="nil"/>
              <w:left w:val="nil"/>
              <w:bottom w:val="single" w:sz="4" w:space="0" w:color="auto"/>
              <w:right w:val="single" w:sz="4" w:space="0" w:color="auto"/>
            </w:tcBorders>
            <w:shd w:val="clear" w:color="auto" w:fill="auto"/>
            <w:noWrap/>
            <w:vAlign w:val="center"/>
            <w:hideMark/>
          </w:tcPr>
          <w:p w14:paraId="2449E8C5"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2739652"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675AAFF0"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001FFE79" w14:textId="77777777" w:rsidTr="00A9211D">
        <w:trPr>
          <w:trHeight w:val="255"/>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14:paraId="67F95266"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Spínač </w:t>
            </w:r>
            <w:proofErr w:type="spellStart"/>
            <w:r w:rsidRPr="009B7BD2">
              <w:rPr>
                <w:rFonts w:ascii="Garamond" w:eastAsia="Times New Roman" w:hAnsi="Garamond" w:cs="Arial"/>
                <w:sz w:val="20"/>
                <w:szCs w:val="20"/>
              </w:rPr>
              <w:t>zastávkovej</w:t>
            </w:r>
            <w:proofErr w:type="spellEnd"/>
            <w:r w:rsidRPr="009B7BD2">
              <w:rPr>
                <w:rFonts w:ascii="Garamond" w:eastAsia="Times New Roman" w:hAnsi="Garamond" w:cs="Arial"/>
                <w:sz w:val="20"/>
                <w:szCs w:val="20"/>
              </w:rPr>
              <w:t xml:space="preserve"> brzdy A0015403244</w:t>
            </w:r>
          </w:p>
        </w:tc>
        <w:tc>
          <w:tcPr>
            <w:tcW w:w="1911" w:type="dxa"/>
            <w:tcBorders>
              <w:top w:val="nil"/>
              <w:left w:val="nil"/>
              <w:bottom w:val="single" w:sz="4" w:space="0" w:color="auto"/>
              <w:right w:val="single" w:sz="4" w:space="0" w:color="auto"/>
            </w:tcBorders>
            <w:shd w:val="clear" w:color="auto" w:fill="auto"/>
            <w:noWrap/>
            <w:vAlign w:val="center"/>
            <w:hideMark/>
          </w:tcPr>
          <w:p w14:paraId="62DB0279"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06FAB99F"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nil"/>
              <w:left w:val="nil"/>
              <w:bottom w:val="single" w:sz="4" w:space="0" w:color="auto"/>
              <w:right w:val="single" w:sz="8" w:space="0" w:color="auto"/>
            </w:tcBorders>
            <w:shd w:val="clear" w:color="auto" w:fill="auto"/>
            <w:noWrap/>
            <w:vAlign w:val="center"/>
            <w:hideMark/>
          </w:tcPr>
          <w:p w14:paraId="5BAFBE2F"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0589E93B" w14:textId="77777777" w:rsidTr="00A9211D">
        <w:trPr>
          <w:trHeight w:val="270"/>
        </w:trPr>
        <w:tc>
          <w:tcPr>
            <w:tcW w:w="4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22EC" w14:textId="77777777" w:rsidR="00A9211D" w:rsidRPr="009B7BD2" w:rsidRDefault="00A9211D" w:rsidP="00411852">
            <w:pPr>
              <w:spacing w:after="0" w:line="240" w:lineRule="auto"/>
              <w:rPr>
                <w:rFonts w:ascii="Garamond" w:eastAsia="Times New Roman" w:hAnsi="Garamond" w:cs="Arial"/>
                <w:sz w:val="20"/>
                <w:szCs w:val="20"/>
              </w:rPr>
            </w:pPr>
            <w:r w:rsidRPr="009B7BD2">
              <w:rPr>
                <w:rFonts w:ascii="Garamond" w:eastAsia="Times New Roman" w:hAnsi="Garamond" w:cs="Arial"/>
                <w:sz w:val="20"/>
                <w:szCs w:val="20"/>
              </w:rPr>
              <w:t xml:space="preserve">Brzdové </w:t>
            </w:r>
            <w:proofErr w:type="spellStart"/>
            <w:r w:rsidRPr="009B7BD2">
              <w:rPr>
                <w:rFonts w:ascii="Garamond" w:eastAsia="Times New Roman" w:hAnsi="Garamond" w:cs="Arial"/>
                <w:sz w:val="20"/>
                <w:szCs w:val="20"/>
              </w:rPr>
              <w:t>dostičky</w:t>
            </w:r>
            <w:proofErr w:type="spellEnd"/>
            <w:r w:rsidRPr="009B7BD2">
              <w:rPr>
                <w:rFonts w:ascii="Garamond" w:eastAsia="Times New Roman" w:hAnsi="Garamond" w:cs="Arial"/>
                <w:sz w:val="20"/>
                <w:szCs w:val="20"/>
              </w:rPr>
              <w:t xml:space="preserve">  A0084206020</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3B2B611" w14:textId="77777777" w:rsidR="00A9211D" w:rsidRPr="009B7BD2" w:rsidRDefault="00A9211D" w:rsidP="00411852">
            <w:pPr>
              <w:spacing w:after="0" w:line="240" w:lineRule="auto"/>
              <w:jc w:val="center"/>
              <w:rPr>
                <w:rFonts w:ascii="Garamond" w:eastAsia="Times New Roman" w:hAnsi="Garamond" w:cs="Arial"/>
                <w:sz w:val="20"/>
                <w:szCs w:val="20"/>
              </w:rPr>
            </w:pPr>
            <w:r w:rsidRPr="009B7BD2">
              <w:rPr>
                <w:rFonts w:ascii="Garamond" w:eastAsia="Times New Roman" w:hAnsi="Garamond" w:cs="Arial"/>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FF757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184AB838"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sz w:val="20"/>
                <w:szCs w:val="20"/>
                <w:shd w:val="clear" w:color="auto" w:fill="FFFF00"/>
              </w:rPr>
              <w:t>doplniť</w:t>
            </w:r>
            <w:r w:rsidRPr="00DE023B">
              <w:rPr>
                <w:rFonts w:ascii="Garamond" w:eastAsia="Times New Roman" w:hAnsi="Garamond" w:cs="Arial"/>
                <w:sz w:val="20"/>
                <w:szCs w:val="20"/>
              </w:rPr>
              <w:t>]</w:t>
            </w:r>
          </w:p>
        </w:tc>
      </w:tr>
      <w:tr w:rsidR="00A9211D" w:rsidRPr="00DE023B" w14:paraId="39C232A7" w14:textId="77777777" w:rsidTr="00A9211D">
        <w:trPr>
          <w:trHeight w:val="270"/>
        </w:trPr>
        <w:tc>
          <w:tcPr>
            <w:tcW w:w="4327"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6C52858" w14:textId="77777777" w:rsidR="00A9211D" w:rsidRPr="00DE023B" w:rsidRDefault="00A9211D" w:rsidP="00411852">
            <w:pPr>
              <w:spacing w:after="0" w:line="240" w:lineRule="auto"/>
              <w:rPr>
                <w:rFonts w:ascii="Garamond" w:eastAsia="Times New Roman" w:hAnsi="Garamond" w:cs="Arial"/>
                <w:b/>
                <w:bCs/>
                <w:sz w:val="20"/>
                <w:szCs w:val="20"/>
              </w:rPr>
            </w:pPr>
            <w:r w:rsidRPr="00DE023B">
              <w:rPr>
                <w:rFonts w:ascii="Garamond" w:eastAsia="Times New Roman" w:hAnsi="Garamond" w:cs="Arial"/>
                <w:b/>
                <w:bCs/>
                <w:sz w:val="20"/>
                <w:szCs w:val="20"/>
              </w:rPr>
              <w:t>SPOLU:</w:t>
            </w:r>
          </w:p>
        </w:tc>
        <w:tc>
          <w:tcPr>
            <w:tcW w:w="1911" w:type="dxa"/>
            <w:tcBorders>
              <w:top w:val="single" w:sz="4" w:space="0" w:color="auto"/>
              <w:left w:val="nil"/>
              <w:bottom w:val="single" w:sz="8" w:space="0" w:color="auto"/>
              <w:right w:val="single" w:sz="4" w:space="0" w:color="auto"/>
            </w:tcBorders>
            <w:shd w:val="clear" w:color="auto" w:fill="auto"/>
            <w:noWrap/>
            <w:vAlign w:val="bottom"/>
          </w:tcPr>
          <w:p w14:paraId="24A97C61" w14:textId="77777777" w:rsidR="00A9211D" w:rsidRPr="00DE023B" w:rsidRDefault="00A9211D" w:rsidP="00411852">
            <w:pPr>
              <w:spacing w:after="0" w:line="240" w:lineRule="auto"/>
              <w:jc w:val="right"/>
              <w:rPr>
                <w:rFonts w:ascii="Garamond" w:eastAsia="Times New Roman" w:hAnsi="Garamond" w:cs="Arial"/>
                <w:sz w:val="20"/>
                <w:szCs w:val="20"/>
              </w:rPr>
            </w:pPr>
          </w:p>
        </w:tc>
        <w:tc>
          <w:tcPr>
            <w:tcW w:w="1701" w:type="dxa"/>
            <w:tcBorders>
              <w:top w:val="single" w:sz="4" w:space="0" w:color="auto"/>
              <w:left w:val="nil"/>
              <w:bottom w:val="single" w:sz="8" w:space="0" w:color="auto"/>
              <w:right w:val="single" w:sz="4" w:space="0" w:color="auto"/>
            </w:tcBorders>
            <w:shd w:val="clear" w:color="auto" w:fill="auto"/>
            <w:noWrap/>
            <w:vAlign w:val="center"/>
          </w:tcPr>
          <w:p w14:paraId="151568DC" w14:textId="77777777" w:rsidR="00A9211D" w:rsidRPr="00DE023B" w:rsidRDefault="00A9211D" w:rsidP="00411852">
            <w:pPr>
              <w:spacing w:after="0" w:line="240" w:lineRule="auto"/>
              <w:jc w:val="right"/>
              <w:rPr>
                <w:rFonts w:ascii="Garamond" w:eastAsia="Times New Roman" w:hAnsi="Garamond" w:cs="Arial"/>
                <w:sz w:val="20"/>
                <w:szCs w:val="20"/>
              </w:rPr>
            </w:pPr>
          </w:p>
        </w:tc>
        <w:tc>
          <w:tcPr>
            <w:tcW w:w="1842" w:type="dxa"/>
            <w:tcBorders>
              <w:top w:val="single" w:sz="4" w:space="0" w:color="auto"/>
              <w:left w:val="nil"/>
              <w:bottom w:val="single" w:sz="8" w:space="0" w:color="auto"/>
              <w:right w:val="single" w:sz="8" w:space="0" w:color="auto"/>
            </w:tcBorders>
            <w:shd w:val="clear" w:color="auto" w:fill="auto"/>
            <w:noWrap/>
            <w:vAlign w:val="center"/>
          </w:tcPr>
          <w:p w14:paraId="71648EAB" w14:textId="77777777" w:rsidR="00A9211D" w:rsidRPr="00DE023B" w:rsidRDefault="00A9211D" w:rsidP="00411852">
            <w:pPr>
              <w:spacing w:after="0" w:line="240" w:lineRule="auto"/>
              <w:jc w:val="right"/>
              <w:rPr>
                <w:rFonts w:ascii="Garamond" w:eastAsia="Times New Roman" w:hAnsi="Garamond" w:cs="Arial"/>
                <w:sz w:val="20"/>
                <w:szCs w:val="20"/>
              </w:rPr>
            </w:pPr>
            <w:r w:rsidRPr="00DE023B">
              <w:rPr>
                <w:rFonts w:ascii="Garamond" w:eastAsia="Times New Roman" w:hAnsi="Garamond" w:cs="Arial"/>
                <w:sz w:val="20"/>
                <w:szCs w:val="20"/>
              </w:rPr>
              <w:t> [</w:t>
            </w:r>
            <w:r w:rsidRPr="00DE023B">
              <w:rPr>
                <w:rFonts w:ascii="Garamond" w:eastAsia="Times New Roman" w:hAnsi="Garamond" w:cs="Arial"/>
                <w:b/>
                <w:bCs/>
                <w:sz w:val="20"/>
                <w:szCs w:val="20"/>
                <w:shd w:val="clear" w:color="auto" w:fill="FFFF00"/>
              </w:rPr>
              <w:t>doplniť</w:t>
            </w:r>
            <w:r w:rsidRPr="00DE023B">
              <w:rPr>
                <w:rFonts w:ascii="Garamond" w:eastAsia="Times New Roman" w:hAnsi="Garamond" w:cs="Arial"/>
                <w:sz w:val="20"/>
                <w:szCs w:val="20"/>
              </w:rPr>
              <w:t>]</w:t>
            </w:r>
          </w:p>
        </w:tc>
      </w:tr>
    </w:tbl>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p w14:paraId="1E86650D" w14:textId="3B8B98E4" w:rsidR="00F5075F" w:rsidRDefault="00F5075F">
      <w:pPr>
        <w:rPr>
          <w:rFonts w:ascii="Garamond" w:hAnsi="Garamond"/>
          <w:b/>
          <w:color w:val="000000" w:themeColor="text1"/>
          <w:sz w:val="20"/>
          <w:szCs w:val="20"/>
        </w:rPr>
      </w:pPr>
    </w:p>
    <w:p w14:paraId="4F16BFEF" w14:textId="77777777" w:rsidR="00F5075F" w:rsidRDefault="00F5075F">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73F9BEB9"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CEC3" w14:textId="77777777" w:rsidR="00595F55" w:rsidRDefault="00595F55" w:rsidP="006B4B49">
      <w:pPr>
        <w:spacing w:after="0" w:line="240" w:lineRule="auto"/>
      </w:pPr>
      <w:r>
        <w:separator/>
      </w:r>
    </w:p>
  </w:endnote>
  <w:endnote w:type="continuationSeparator" w:id="0">
    <w:p w14:paraId="0B62BDD8" w14:textId="77777777" w:rsidR="00595F55" w:rsidRDefault="00595F55"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AA2C" w14:textId="77777777" w:rsidR="00595F55" w:rsidRDefault="00595F55" w:rsidP="006B4B49">
      <w:pPr>
        <w:spacing w:after="0" w:line="240" w:lineRule="auto"/>
      </w:pPr>
      <w:r>
        <w:separator/>
      </w:r>
    </w:p>
  </w:footnote>
  <w:footnote w:type="continuationSeparator" w:id="0">
    <w:p w14:paraId="457423C1" w14:textId="77777777" w:rsidR="00595F55" w:rsidRDefault="00595F55"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5F55"/>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11D"/>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D1AE-A09A-4BD3-9123-72314817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5349</Words>
  <Characters>30494</Characters>
  <Application>Microsoft Office Word</Application>
  <DocSecurity>0</DocSecurity>
  <Lines>254</Lines>
  <Paragraphs>71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2020-02-18T12:46:00Z</dcterms:created>
  <dcterms:modified xsi:type="dcterms:W3CDTF">2020-02-18T12:46:00Z</dcterms:modified>
</cp:coreProperties>
</file>