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Formularz cenowy</w:t>
      </w:r>
    </w:p>
    <w:p>
      <w:pPr>
        <w:pStyle w:val="Normal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Załącznik nr 5 </w:t>
      </w:r>
    </w:p>
    <w:p>
      <w:pPr>
        <w:pStyle w:val="Normal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tbl>
      <w:tblPr>
        <w:tblStyle w:val="Tabela-Siatka"/>
        <w:tblW w:w="1616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1419"/>
        <w:gridCol w:w="1417"/>
        <w:gridCol w:w="4110"/>
        <w:gridCol w:w="709"/>
        <w:gridCol w:w="1136"/>
        <w:gridCol w:w="1558"/>
        <w:gridCol w:w="1135"/>
        <w:gridCol w:w="4108"/>
      </w:tblGrid>
      <w:tr>
        <w:trPr>
          <w:tblHeader w:val="true"/>
        </w:trPr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Typ asortymentu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parametr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Wymagane minimalne parametry techniczne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Cena jedn. netto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Wartość netto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kol. (5) x kol. (6)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Wartość brutto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2"/>
                <w:sz w:val="20"/>
                <w:szCs w:val="20"/>
                <w:lang w:val="pl-PL" w:eastAsia="en-US" w:bidi="ar-SA"/>
              </w:rPr>
              <w:t>Oferowane parametry techniczne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(1)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(2)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(3)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(4)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(5)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(6)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(7)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(8)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(9)</w:t>
            </w:r>
          </w:p>
        </w:tc>
      </w:tr>
      <w:tr>
        <w:trPr>
          <w:trHeight w:val="793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Platforma serwerowa z dyskami o zwiększonej pojemności</w:t>
            </w:r>
          </w:p>
        </w:tc>
        <w:tc>
          <w:tcPr>
            <w:tcW w:w="14173" w:type="dxa"/>
            <w:gridSpan w:val="7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48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Producent model ………………………………………………………………………………………………………………………………………………………….…..…………………………………………….</w:t>
            </w:r>
          </w:p>
        </w:tc>
      </w:tr>
      <w:tr>
        <w:trPr>
          <w:trHeight w:val="2606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obudowa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176" w:left="176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rack o wysokości maksymalnej 2U,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176" w:left="176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wyposażona w min. 8 kieszeni na dyski twarde 3,5” HOT-SWAP,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176" w:left="176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zabezpieczenie przed demontażem dysków twardych w postaci ramki, wyświetlacz LCD (jeśli producent posiada w swojej ofercie ramkę zabezpieczającą z wyświetlaczem LCD),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176" w:left="176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dedykowane szyny montażowe rack o regulowanej głębokości szafy rackowej (o ile producent posiada takie w swojej ofercie).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1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45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Płyta główna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umożliwiająca montaż dwóch procesorów,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umożliwiająca montaż wszystkich wskazanych poniżej komponentów.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516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Procesory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zainstalowane 2 sztuki procesorów, każdy o parametrach: minimum 16 rdzeni / 32 wątki.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parametr TDP nie większy niż 155W,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osiągające wynik co najmniej 26000 pkt. w rankingu CPU Benchmarks Pass Mark lub w rankingu równoważnym, https://www.cpubenchmark.net/cpu_list.php wg stanu na dzień 26.03.2025 r.,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procesor wprowadzony na rynek nie wcześniej niż w 2020 roku.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Model, typ procesora ……………………....</w:t>
            </w:r>
          </w:p>
        </w:tc>
      </w:tr>
      <w:tr>
        <w:trPr>
          <w:trHeight w:val="1382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Pamięć operacyjna RAM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Nie mniej niż 8 sztuk modułów po 64GB każdy zgodnych z zaproponowanym typem procesorów i płytą główną,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funkcja korekcji błędów występujących podczas pracy – ECC.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646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Kontroler RAID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sprzętowy kontroler RAID,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umożliwiający pracę w trybach RAID minimum: 0/1/5/6/10/50/60,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obsługa dysków z interfejsem SAS/SATA,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cache o pojemności nie mniejszej niż 2GB,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zabezpieczenie kontrolera przed utratą danych w przypadku zaniku zasilania za pomocą baterii bądź superkondensatorów,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sprzętowy kontroler kompatybilny z VMware vSphere (ESXi)* min. 8.x.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Model, typ ……………………………….....</w:t>
            </w:r>
          </w:p>
        </w:tc>
      </w:tr>
      <w:tr>
        <w:trPr>
          <w:trHeight w:val="1407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Zasilacze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2 sztuki rendundantnych zasilaczy HOT-PLUGING / HOT-SWAP),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moc każdego z zasilaczy zapewniająca poprawną pracę serwera, jednak nie mniejsza niż 1100W.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407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Zdalne zarządzenie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dedykowany port RJ-45 do zdalnego zarządzania serwerem,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rozwiązanie niezależne od systemu operacyjnego,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licencja powinna pozwalać na: włączenie / wyłączenie / restart serwera, podgląd logów sprzętowych serwera,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Konsola wirtualna pozwalająca na zdalne zarządzanie serwerem, w tym na monitorowanie i kontrolowanie systemu operacyjnego, nawet jeśli serwer jest wyłączony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Konsola wirtualna powinna pozawalać na zdalne sterowanie serwerem za pomocą klawiatury, myszy i obrazu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Konsola  powinna mieć możliwość montowania obrazów ISO i innych nośników zdalnie, w celu instalacji systemów operacyjnych i aplikacji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umożliwiający update systemowego firmware’u.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085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Złącza sieciowe ethernet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nie mniej niż 6 portów RJ-45 o prędkości minimum 1Gb/s,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2 porty 10Gb/s 10GBASE-T, kompatybilne wstecznie z 1Gb/s ze złączem RJ-45.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407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Wspierane systemy operacyjne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Microsoft Windows Server 2022*, Red Hat Enterprise Linux*, SUSE Linux Enterprise Server*, VMware vSphere (ESXi)* min. 8.x.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78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Zarówno model serwera jak i dodatkowe karty IO muszą się znajdować na liście kompatybilności VMware* w celu zapewnienia pełnego wsparcia dla całej platformy.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hyperlink r:id="rId2">
              <w:r>
                <w:rPr>
                  <w:rStyle w:val="Hyperlink"/>
                  <w:rFonts w:eastAsia="Aptos" w:cs="Calibri" w:ascii="Calibri" w:hAnsi="Calibri"/>
                  <w:kern w:val="2"/>
                  <w:sz w:val="20"/>
                  <w:szCs w:val="20"/>
                  <w:lang w:val="pl-PL" w:eastAsia="en-US" w:bidi="ar-SA"/>
                </w:rPr>
                <w:t>https://www.vmware.com/</w:t>
              </w:r>
            </w:hyperlink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resources/compatibility/search.php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2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Przestrzeń dyskowa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Każdy z serwerów powinien być wyposażony w następującą przestrzeń dyskową: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12 sztuk dysków twardych HDD NLSAS o pojemności nie mniejszej niż 11TB, rozmiar 3,5”(8 dysków zainstalowanych w serwerze oraz 4 dyski zapasowe), dyski podłączone do sprzętowego kontrolera RAID.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4 sztuki półprzewodnikowych dysków twardych do zastosowań serwerowych o pojemności minimum 240GB do przechowywania i uruchamiania systemu operacyjnego, z możliwością skonfigurowania ich do pracy w trybie RAID 1 (o ile to konieczne dodatkowy kontroler), dyski umieszczone w specjalnej kieszeni lub zainstalowane na dedykowanej karcie. (2 dyski zainstalowane w serwerze oraz 2 dyski zapasowe)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Model, typ ……………………………….....</w:t>
            </w:r>
          </w:p>
        </w:tc>
      </w:tr>
      <w:tr>
        <w:trPr>
          <w:trHeight w:val="1090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Warunki gwarancji – serwer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min. 3 lata gwarancji producenta na części i robociznę, naprawa w miejscu użytkowania, reakcja serwisowa w następnym dniu roboczym od zgłoszenia awarii.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53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Warunki gwarancji – dyski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twarde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hanging="113" w:left="113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min. 3 lata gwarancji producenta na części i robociznę. W przypadku awarii dyski twarde pozostają u Zamawiającego.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12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Platforma serwerowa z szybkimi dyskami twardymi</w:t>
            </w:r>
          </w:p>
        </w:tc>
        <w:tc>
          <w:tcPr>
            <w:tcW w:w="14173" w:type="dxa"/>
            <w:gridSpan w:val="7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Producent model ………………………………………………………………………………………………………………………………………………………………………..…………………………………………….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97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obudowa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1"/>
              </w:numPr>
              <w:spacing w:before="0" w:after="0"/>
              <w:ind w:hanging="113" w:left="113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rack o wysokości maksymalnej 2U,</w:t>
            </w:r>
          </w:p>
          <w:p>
            <w:pPr>
              <w:pStyle w:val="western"/>
              <w:widowControl/>
              <w:numPr>
                <w:ilvl w:val="0"/>
                <w:numId w:val="11"/>
              </w:numPr>
              <w:spacing w:before="0" w:after="0"/>
              <w:ind w:hanging="113" w:left="113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wyposażona w min. 8 kieszeni na dyski twarde 3,5” HOT-SWAP,</w:t>
            </w:r>
          </w:p>
          <w:p>
            <w:pPr>
              <w:pStyle w:val="western"/>
              <w:widowControl/>
              <w:numPr>
                <w:ilvl w:val="0"/>
                <w:numId w:val="11"/>
              </w:numPr>
              <w:spacing w:before="0" w:after="0"/>
              <w:ind w:hanging="113" w:left="113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zabezpieczenie przed demontażem dysków twardych w postaci ramki, wyświetlacz LCD (jeśli producent posiada w swojej ofercie ramkę zabezpieczającą z wyświetlaczem LCD),</w:t>
            </w:r>
          </w:p>
          <w:p>
            <w:pPr>
              <w:pStyle w:val="western"/>
              <w:widowControl/>
              <w:numPr>
                <w:ilvl w:val="0"/>
                <w:numId w:val="11"/>
              </w:numPr>
              <w:spacing w:before="0" w:after="0"/>
              <w:ind w:hanging="113" w:left="113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dedykowane szyny montażowe rack o regulowanej głębokości szafy rackowej (o ile producent posiada takie w swojej ofercie).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3</w:t>
            </w:r>
          </w:p>
        </w:tc>
        <w:tc>
          <w:tcPr>
            <w:tcW w:w="11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1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Płyta główna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2"/>
              </w:numPr>
              <w:spacing w:before="0" w:after="0"/>
              <w:ind w:hanging="113" w:left="113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umożliwiająca montaż dwóch procesorów,</w:t>
            </w:r>
          </w:p>
          <w:p>
            <w:pPr>
              <w:pStyle w:val="western"/>
              <w:widowControl/>
              <w:numPr>
                <w:ilvl w:val="0"/>
                <w:numId w:val="12"/>
              </w:numPr>
              <w:spacing w:before="0" w:after="0"/>
              <w:ind w:hanging="113" w:left="113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umożliwiająca montaż wszystkich wskazanych poniżej komponentów.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895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Procesory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"/>
              </w:numPr>
              <w:spacing w:before="0" w:after="0"/>
              <w:ind w:hanging="142" w:left="176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zainstalowane 2 sztuki procesorów, każdy o parametrach: minimum 16 rdzeni / 32 wątki,</w:t>
            </w:r>
          </w:p>
          <w:p>
            <w:pPr>
              <w:pStyle w:val="western"/>
              <w:widowControl/>
              <w:numPr>
                <w:ilvl w:val="0"/>
                <w:numId w:val="1"/>
              </w:numPr>
              <w:spacing w:before="0" w:after="0"/>
              <w:ind w:hanging="142" w:left="176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parametr TDP nie większy niż 155W,</w:t>
            </w:r>
          </w:p>
          <w:p>
            <w:pPr>
              <w:pStyle w:val="western"/>
              <w:widowControl/>
              <w:numPr>
                <w:ilvl w:val="0"/>
                <w:numId w:val="1"/>
              </w:numPr>
              <w:spacing w:before="0" w:after="0"/>
              <w:ind w:hanging="142" w:left="176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osiągające wynik co najmniej 26000 pkt. w rankingu CPU Benchmarks Pass Mark lub w rankingu równoważnym, https://www.cpubenchmark.net/cpu_list.php wg stanu na dzień 26.03.2025 r.,</w:t>
            </w:r>
          </w:p>
          <w:p>
            <w:pPr>
              <w:pStyle w:val="western"/>
              <w:widowControl/>
              <w:numPr>
                <w:ilvl w:val="0"/>
                <w:numId w:val="1"/>
              </w:numPr>
              <w:spacing w:before="0" w:after="0"/>
              <w:ind w:hanging="142" w:left="176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procesor wprowadzony na rynek nie wcze-śniej niż w 2020 roku.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36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Model, typ ……………………………….....</w:t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Pamięć operacyjna RAM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Nie mniej niż 8 sztuk modułów po 64GB każdy zgodnych z zaproponowanym typem procesorów i płytą główną,</w:t>
            </w:r>
          </w:p>
          <w:p>
            <w:pPr>
              <w:pStyle w:val="western"/>
              <w:widowControl/>
              <w:numPr>
                <w:ilvl w:val="0"/>
                <w:numId w:val="1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funkcja korekcji błędów występujących podczas pracy</w:t>
            </w:r>
          </w:p>
          <w:p>
            <w:pPr>
              <w:pStyle w:val="western"/>
              <w:widowControl/>
              <w:numPr>
                <w:ilvl w:val="0"/>
                <w:numId w:val="1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ECC.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Kontroler RAID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4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sprzętowy kontroler RAID,</w:t>
            </w:r>
          </w:p>
          <w:p>
            <w:pPr>
              <w:pStyle w:val="western"/>
              <w:widowControl/>
              <w:numPr>
                <w:ilvl w:val="0"/>
                <w:numId w:val="14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umożliwiający pracę w trybach RAID minimum: 0/1/5/6/10/50/60,</w:t>
            </w:r>
          </w:p>
          <w:p>
            <w:pPr>
              <w:pStyle w:val="western"/>
              <w:widowControl/>
              <w:numPr>
                <w:ilvl w:val="0"/>
                <w:numId w:val="14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obsługa dysków z interfejsem SAS/SATA,</w:t>
            </w:r>
          </w:p>
          <w:p>
            <w:pPr>
              <w:pStyle w:val="western"/>
              <w:widowControl/>
              <w:numPr>
                <w:ilvl w:val="0"/>
                <w:numId w:val="14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cache o pojemności nie mniejszej niż 2GB,</w:t>
            </w:r>
          </w:p>
          <w:p>
            <w:pPr>
              <w:pStyle w:val="western"/>
              <w:widowControl/>
              <w:numPr>
                <w:ilvl w:val="0"/>
                <w:numId w:val="14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zabezpieczenie kontrolera przed utratą danych w przypadku zaniku zasilania za pomocą baterii bądź superkondensatorów,</w:t>
            </w:r>
          </w:p>
          <w:p>
            <w:pPr>
              <w:pStyle w:val="western"/>
              <w:widowControl/>
              <w:numPr>
                <w:ilvl w:val="0"/>
                <w:numId w:val="14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sprzętowy kontroler kompatybilny z VMware vSphere (ESXi)* min. 8.x.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Model, typ ……………………………….....</w:t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Zasilacze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5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2 sztuki rendundantnych zasilaczy HOT-PLUGING / HOT-SWAP),</w:t>
            </w:r>
          </w:p>
          <w:p>
            <w:pPr>
              <w:pStyle w:val="western"/>
              <w:widowControl/>
              <w:numPr>
                <w:ilvl w:val="0"/>
                <w:numId w:val="15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moc każdego z zasilaczy zapewniająca poprawną pracę serwera, jednak nie mniejsza niż 1100W.</w:t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43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Zdalne zarządzenie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6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dedykowany port RJ-45 do zdalnego zarządzania serwerem,</w:t>
            </w:r>
          </w:p>
          <w:p>
            <w:pPr>
              <w:pStyle w:val="western"/>
              <w:widowControl/>
              <w:numPr>
                <w:ilvl w:val="0"/>
                <w:numId w:val="16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rozwiązanie niezależne od systemu operacyjnego,</w:t>
            </w:r>
          </w:p>
          <w:p>
            <w:pPr>
              <w:pStyle w:val="western"/>
              <w:widowControl/>
              <w:numPr>
                <w:ilvl w:val="0"/>
                <w:numId w:val="16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licencja powinna pozwalać na: włączenie / wyłączenie / restart serwera, podgląd logów sprzętowych serwera,</w:t>
            </w:r>
          </w:p>
          <w:p>
            <w:pPr>
              <w:pStyle w:val="western"/>
              <w:widowControl/>
              <w:numPr>
                <w:ilvl w:val="0"/>
                <w:numId w:val="16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Konsola wirtualna pozwalająca na zdalne zarządzanie serwerem, w tym na monitorowanie i kontrolowanie systemu operacyjnego, nawet jeśli serwer jest wyłączony</w:t>
            </w:r>
          </w:p>
          <w:p>
            <w:pPr>
              <w:pStyle w:val="western"/>
              <w:widowControl/>
              <w:numPr>
                <w:ilvl w:val="0"/>
                <w:numId w:val="16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Konsola wirtualna powinna pozawalać na zdalne sterowanie serwerem za pomocą klawiatury, myszy i obrazu</w:t>
            </w:r>
          </w:p>
          <w:p>
            <w:pPr>
              <w:pStyle w:val="western"/>
              <w:widowControl/>
              <w:numPr>
                <w:ilvl w:val="0"/>
                <w:numId w:val="16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Konsola powinna mieć możliwość montowania obrazów ISO i innych nośników zdalnie, w celu instalacji systemów operacyjnych i aplikacji</w:t>
            </w:r>
          </w:p>
          <w:p>
            <w:pPr>
              <w:pStyle w:val="western"/>
              <w:widowControl/>
              <w:numPr>
                <w:ilvl w:val="0"/>
                <w:numId w:val="16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umożliwiający update systemowego firmware’u.</w:t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Złącza sieciowe ethernet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17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nie mniej niż 6 portów RJ-45 o prędkości minimum 1Gb/s,</w:t>
            </w:r>
          </w:p>
          <w:p>
            <w:pPr>
              <w:pStyle w:val="western"/>
              <w:widowControl/>
              <w:numPr>
                <w:ilvl w:val="0"/>
                <w:numId w:val="17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2 porty 10Gb/s 10GBASE-T, kompatybilne wstecznie z 1Gb/s ze złączem RJ-45.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2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Wspierane systemy operacyjne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Microsoft Windows Server 2022*, Red Hat Enterprise Linux*, SUSE Linux Enterprise Server*, VMware vSphere (ESXi)* min. 8.x.</w:t>
            </w:r>
          </w:p>
          <w:p>
            <w:pPr>
              <w:pStyle w:val="western"/>
              <w:widowControl/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Zarówno model serwera jak i dodatkowe karty IO muszą się znajdować na liście kompatybilności VMware* w celu zapewnienia pełnego wsparcia dla całej platformy.</w:t>
              <w:br/>
              <w:t>https://www.vmware.com/resources/compatibility/search.php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360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Przestrzeń dyskowa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0"/>
              <w:ind w:left="113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Każdy z serwerów powinien być wyposażony w następującą przestrzeń dyskową:</w:t>
            </w:r>
          </w:p>
          <w:p>
            <w:pPr>
              <w:pStyle w:val="western"/>
              <w:widowControl/>
              <w:numPr>
                <w:ilvl w:val="0"/>
                <w:numId w:val="18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12 sztuk półprzewodnikowych dysków twardych SSD do zastosowań serwerowych o pojemności nie mniejszej niż 1,6TB (8 dysków zainstalowanych w serwerze oraz 4 dyski zapasowe), dyski podłączone do sprzętowego kontrolera RAID, parametr DWPD nie mniejszy niż 1 (o ile to konieczne dołączone adaptery do montażu dysków 2,5” w kieszeniach 3,5”).</w:t>
            </w:r>
          </w:p>
          <w:p>
            <w:pPr>
              <w:pStyle w:val="western"/>
              <w:widowControl/>
              <w:numPr>
                <w:ilvl w:val="0"/>
                <w:numId w:val="18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 xml:space="preserve">4 sztuki półprzewodnikowych dysków twardych do zastosowań serwerowych o pojemności minimum 240GB do przechowywania i uruchamiania systemu operacyjnego, z możliwością skonfigurowania ich do pracy w trybie RAID 1 (o ile to konieczne dodatkowy kontroler), dyski umieszczone w specjalnej kieszeni lub zainstalowane na dedykowanej karcie </w:t>
            </w:r>
            <w:r>
              <w:rPr>
                <w:rFonts w:eastAsia="Aptos" w:cs="Calibri" w:ascii="Calibri" w:hAnsi="Calibri"/>
                <w:sz w:val="20"/>
                <w:szCs w:val="20"/>
                <w:lang w:val="pl-PL" w:bidi="ar-SA"/>
              </w:rPr>
              <w:t>(2 dyski zainstalowane w serwerze oraz 2 dyski zapasowe)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Model, typ ……………………………….....</w:t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Warunki gwarancji – serwer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min. 3 lata gwarancji producenta na części i robociznę, naprawa w miejscu użytkowania, reakcja serwisowa w następnym dniu roboczym od zgłoszenia awarii.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067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western"/>
              <w:widowControl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Warunki gwarancji – dyski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twarde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min. 3 lata gwarancji producenta na części i robociznę. W przypadku awarii dyski twarde pozostają u Zamawiającego.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3.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NAS</w:t>
            </w:r>
          </w:p>
        </w:tc>
        <w:tc>
          <w:tcPr>
            <w:tcW w:w="14173" w:type="dxa"/>
            <w:gridSpan w:val="7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Producent, model ………………………………………………………………………………………………………………………………………………………………….</w:t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obudowa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rack o wysokości maksymalnej 2U,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wyposażona w min. 12 kieszeni na dyski twarde 3,5” HOT-SWAP,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dedykowane szyny montażowe rack o regulowanej głębokości szafy rackowej (o ile producent posiada takie w swojej ofercie).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4</w:t>
            </w:r>
          </w:p>
        </w:tc>
        <w:tc>
          <w:tcPr>
            <w:tcW w:w="11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procesor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platforma zaproponowanego NASa musi być oparta o 64-bitowy procesor,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osiągający wynik co najmniej 6100 pkt. w rankingu CPU Benchmarks Pass Mark lub w rankingu równoważnym, https://www.cpubenchmark.net/cpu_list.php wg stanu na dzień 11.03.2025 r.,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procesor wprowadzony na rynek nie wcześniej niż w 2017 roku.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Pamięć operacyjna RAM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sz w:val="20"/>
                <w:szCs w:val="20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Nie mniej niż 16 GB (jeśli urządzenie nie jest fabrycznie wyposażone w pamięć o wskazanym rozmiarze, dostawca powinien dołożyć moduł rozszerzający zgodny z zaproponowanym urządzeniem).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Zasilacze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numPr>
                <w:ilvl w:val="0"/>
                <w:numId w:val="2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2 sztuki redundantnych zasilaczy HOT-PLUGING / HOT-SWAP).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Złącza sieciowe ethernet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22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nie mniej niż 4 porty RJ-45 o prędkości minimum 1Gb/s,</w:t>
            </w:r>
          </w:p>
          <w:p>
            <w:pPr>
              <w:pStyle w:val="western"/>
              <w:widowControl/>
              <w:numPr>
                <w:ilvl w:val="0"/>
                <w:numId w:val="22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2 porty 10Gb/s 10GBASE-T (jeśli zaproponowane urządzenie nie jest w standardzie wyposażone w porty, dostawca powinien dołożyć dodatkową kartę.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Dodatkowe oprogramowanie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23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urządzenie musi być wyposażone i wspierać aktualnie wykorzystywane w Urzędzie Miejskim oprogramowanie do wykonywania kopii maszyn wirtualnych VMware - NAKIVO Backup &amp; Replication *,</w:t>
            </w:r>
          </w:p>
          <w:p>
            <w:pPr>
              <w:pStyle w:val="western"/>
              <w:widowControl/>
              <w:numPr>
                <w:ilvl w:val="0"/>
                <w:numId w:val="23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wbudowana aplikacja lub możliwość zainstalowania oprogramowania umożliwiającego wykonywanie backupów systemów maszyn wirtualnych z serwera VMware oraz z komputerów stacjonarnych końcowych użytkowników. Licencja powinna być darmowa i dożywotnia.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6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Dyski twarde do NAS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numPr>
                <w:ilvl w:val="0"/>
                <w:numId w:val="21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dysk twardy przeznaczony do zastosowań w pamięciach masowych</w:t>
            </w:r>
          </w:p>
          <w:p>
            <w:pPr>
              <w:pStyle w:val="western"/>
              <w:widowControl/>
              <w:numPr>
                <w:ilvl w:val="0"/>
                <w:numId w:val="21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pojemność nie mniejsza niż 6TB,</w:t>
            </w:r>
          </w:p>
          <w:p>
            <w:pPr>
              <w:pStyle w:val="western"/>
              <w:widowControl/>
              <w:numPr>
                <w:ilvl w:val="0"/>
                <w:numId w:val="21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rozmiar 3,5”,</w:t>
            </w:r>
          </w:p>
          <w:p>
            <w:pPr>
              <w:pStyle w:val="western"/>
              <w:widowControl/>
              <w:numPr>
                <w:ilvl w:val="0"/>
                <w:numId w:val="23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zgodny z zaproponowanym urządzeniem NAS.</w:t>
            </w:r>
          </w:p>
          <w:p>
            <w:pPr>
              <w:pStyle w:val="western"/>
              <w:widowControl/>
              <w:numPr>
                <w:ilvl w:val="0"/>
                <w:numId w:val="23"/>
              </w:numPr>
              <w:spacing w:beforeAutospacing="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Minimum 2 lata gwarancji na dyski</w:t>
            </w:r>
          </w:p>
          <w:p>
            <w:pPr>
              <w:pStyle w:val="western"/>
              <w:widowControl/>
              <w:spacing w:before="28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W przypadku awarii dysków twardych i konieczności ich wymiany, muszą one pozostać u Zamawiającego.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72</w:t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6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Gwarancja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Minimum 3 lata gwarancji na NAS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4.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Przełącznik sieciowy (switch)</w:t>
            </w:r>
          </w:p>
        </w:tc>
        <w:tc>
          <w:tcPr>
            <w:tcW w:w="14173" w:type="dxa"/>
            <w:gridSpan w:val="7"/>
            <w:tcBorders/>
            <w:vAlign w:val="bottom"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pl-PL" w:bidi="ar-SA"/>
              </w:rPr>
              <w:t>Producent, model 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>
        <w:trPr>
          <w:trHeight w:val="632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Typ przełącznika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Zarządzany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4</w:t>
            </w:r>
          </w:p>
        </w:tc>
        <w:tc>
          <w:tcPr>
            <w:tcW w:w="11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40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Przełącznik wielowarstwowy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L3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Zarządzanie przez stronę www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Tak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Liczba portów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co najmniej 48 co najmniej Gigabit Ethernet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1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Porty SFP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co najmniej 4 szt. 10 GE SFP+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22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Przepustowość przełączania (rutowania)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co najmniej 170 Gbit/s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06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Wielkość tabeli adresów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co najmniej 16000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2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Obsługa sieci VLAN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Tak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1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Możliwość montażu w szafie Rack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Tak, wszystkie potrzebne komponenty w zestawie.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87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Gwarancja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Minimum 2 lata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5.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UPS</w:t>
            </w:r>
          </w:p>
        </w:tc>
        <w:tc>
          <w:tcPr>
            <w:tcW w:w="14173" w:type="dxa"/>
            <w:gridSpan w:val="7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Producent, model 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43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Typ obudowy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Obudowa wieża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11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1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Ilość faz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UPS obsługujący zasilanie 3-fazowe, przystosowany do współpracy z napięciem o wartości 230V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10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Kształt napięcia wyjściowego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Kształt przebiegu napięcia wyjściowego o czystej sinusoidzie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6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Technologia pracy urządzenia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On-line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96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Moc urządzenia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Urządzenie o mocy nie mniejszej niż 10KW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Tryb pracy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3 fazy wejściowe, 1 faza wyjściowa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Funkcja Bypass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Możliwość załączenia i pracy w trybie bypass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Interfejs komunikacji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Interfejs umożliwiający komunikację z serwerem – powiadomienie o zaniku zasilania realizowany z wykorzystaniem interfejsu ethernet (dodatkowy moduł w portem RJ-45 w przypadku jego braku)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Zestaw dodatkowych akumulatorów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Czas pracy przy obciążeniu 50% mocy – nie mniejszy niż 30min. Jeśli osiągnięcie takiego wyniku nie jest możliwe z wykorzystaniem wbudowanych akumulatorów powinien zostać dołączony dodatkowy moduł baterii.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Gwarancja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Minimum 2 lata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73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6.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Licencja</w:t>
            </w:r>
          </w:p>
        </w:tc>
        <w:tc>
          <w:tcPr>
            <w:tcW w:w="14173" w:type="dxa"/>
            <w:gridSpan w:val="7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Producent, wersja oprogramowania …………………………………………………………………………………………………………………………………………………………………..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Typ licencji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Aktualizacja licencji na oprogramowanie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1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33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Okres trwania licencjonowania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Licencja bezterminowa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46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Ilość obsługiwanych urządzeń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Licencja na 1 moduł sterujący oraz 130 archiwizowanych urządzeń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02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Aptos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Zgodność</w:t>
            </w:r>
          </w:p>
        </w:tc>
        <w:tc>
          <w:tcPr>
            <w:tcW w:w="4110" w:type="dxa"/>
            <w:tcBorders/>
          </w:tcPr>
          <w:p>
            <w:pPr>
              <w:pStyle w:val="western"/>
              <w:widowControl/>
              <w:spacing w:before="0" w:after="142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l-PL" w:bidi="ar-SA"/>
              </w:rPr>
              <w:t>System backupu zgodny z Ferro Backup System*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06" w:hRule="atLeast"/>
        </w:trPr>
        <w:tc>
          <w:tcPr>
            <w:tcW w:w="9358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SUMA (łączna wartość)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Uwaga: w przypadku rozbieżności w zadeklarowanym okresie gwarancji pomiędzy Formularzem ofertowym a Formularzem cenowym wiążący dla Wykonawcy będzie okres gwarancji zadeklarowany w Formularzu ofertowym.</w:t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Warunki równoważności opisane zostały w opisie przedmiotu zamówienia.</w:t>
      </w:r>
    </w:p>
    <w:p>
      <w:pPr>
        <w:pStyle w:val="Normal"/>
        <w:spacing w:before="0" w:after="1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Nie spełnienie chociażby jednego z wymaganych parametrów, jak również nie określenie (nie wpisanie) określonych parametrów technicznych w poszczególnych punktach tabeli skutkować będzie odrzuceniem oferty.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720" w:right="720" w:gutter="0" w:header="170" w:top="1559" w:footer="309" w:bottom="62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t>* - użyte nazwy własne odpowiadają typowi sprzętu oraz oprogramowania aktualnie użytkowanego przez Zamawiającego i zgodnego z posiadanym pozostałym sprzętem i oprogramowaniem.</w:t>
          <w:tab/>
          <w:tab/>
          <w:tab/>
          <w:tab/>
          <w:tab/>
          <w:tab/>
          <w:tab/>
          <w:tab/>
          <w:tab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t>* - użyte nazwy własne odpowiadają typowi sprzętu oraz oprogramowania aktualnie użytkowanego przez Zamawiającego i zgodnego z posiadanym pozostałym sprzętem i oprogramowaniem.</w:t>
          <w:tab/>
          <w:tab/>
          <w:tab/>
          <w:tab/>
          <w:tab/>
          <w:tab/>
          <w:tab/>
          <w:tab/>
          <w:tab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367270" cy="774700"/>
          <wp:effectExtent l="0" t="0" r="0" b="0"/>
          <wp:docPr id="1" name="Obraz 144982346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49823468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727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367270" cy="774700"/>
          <wp:effectExtent l="0" t="0" r="0" b="0"/>
          <wp:docPr id="2" name="Obraz 144982346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449823468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727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113" w:hanging="5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44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qFormat/>
    <w:rsid w:val="001269c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69c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269c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269c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269c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269c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269c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269c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269c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1269c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1269c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269ca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1269c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269c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269c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269c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269c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269ca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269c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269ca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c94e0a"/>
    <w:rPr/>
  </w:style>
  <w:style w:type="character" w:styleId="StopkaZnak" w:customStyle="1">
    <w:name w:val="Stopka Znak"/>
    <w:basedOn w:val="DefaultParagraphFont"/>
    <w:uiPriority w:val="99"/>
    <w:qFormat/>
    <w:rsid w:val="00c94e0a"/>
    <w:rPr/>
  </w:style>
  <w:style w:type="character" w:styleId="TekstpodstawowyZnak" w:customStyle="1">
    <w:name w:val="Tekst podstawowy Znak"/>
    <w:basedOn w:val="DefaultParagraphFont"/>
    <w:qFormat/>
    <w:rsid w:val="000650b6"/>
    <w:rPr>
      <w:rFonts w:ascii="Liberation Serif" w:hAnsi="Liberation Serif" w:eastAsia="NSimSun" w:cs="Lucida Sans"/>
      <w:sz w:val="24"/>
      <w:szCs w:val="24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c91642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1642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0650b6"/>
    <w:pPr>
      <w:spacing w:lineRule="auto" w:line="276" w:before="0" w:after="140"/>
    </w:pPr>
    <w:rPr>
      <w:rFonts w:ascii="Liberation Serif" w:hAnsi="Liberation Serif" w:eastAsia="NSimSun" w:cs="Lucida Sans"/>
      <w:sz w:val="24"/>
      <w:szCs w:val="24"/>
      <w:lang w:eastAsia="zh-CN" w:bidi="hi-IN"/>
      <w14:ligatures w14:val="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c94e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ytuZnak"/>
    <w:qFormat/>
    <w:rsid w:val="001269c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269c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269c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269c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269c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er">
    <w:name w:val="footer"/>
    <w:basedOn w:val="Normal"/>
    <w:link w:val="StopkaZnak"/>
    <w:uiPriority w:val="99"/>
    <w:unhideWhenUsed/>
    <w:rsid w:val="00c94e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rsid w:val="00177942"/>
    <w:pPr>
      <w:suppressLineNumbers/>
    </w:pPr>
    <w:rPr>
      <w:kern w:val="0"/>
      <w14:ligatures w14:val="none"/>
    </w:rPr>
  </w:style>
  <w:style w:type="paragraph" w:styleId="western" w:customStyle="1">
    <w:name w:val="western"/>
    <w:basedOn w:val="Normal"/>
    <w:qFormat/>
    <w:rsid w:val="00ac3416"/>
    <w:pPr>
      <w:suppressAutoHyphens w:val="false"/>
      <w:spacing w:lineRule="auto" w:line="276" w:beforeAutospacing="1" w:after="142"/>
    </w:pPr>
    <w:rPr>
      <w:rFonts w:ascii="Liberation Serif" w:hAnsi="Liberation Serif" w:eastAsia="Times New Roman" w:cs="Liberation Serif"/>
      <w:kern w:val="0"/>
      <w:sz w:val="24"/>
      <w:szCs w:val="24"/>
      <w:lang w:eastAsia="pl-PL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f46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mware.com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1446-AE53-4794-BB9C-98D076C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6649</TotalTime>
  <Application>LibreOffice/25.2.2.2$Windows_X86_64 LibreOffice_project/7370d4be9e3cf6031a51beef54ff3bda878e3fac</Application>
  <AppVersion>15.0000</AppVersion>
  <Pages>12</Pages>
  <Words>1784</Words>
  <Characters>11493</Characters>
  <CharactersWithSpaces>12992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2025-02-24T11:39:00Z</dcterms:created>
  <dc:creator>Artur Górny</dc:creator>
  <dc:description/>
  <dc:language>pl-PL</dc:language>
  <cp:lastModifiedBy/>
  <dcterms:modified xsi:type="dcterms:W3CDTF">2025-04-24T11:02:38Z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