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9D25C4" w:rsidRPr="009D25C4" w:rsidRDefault="009D25C4" w:rsidP="009D25C4">
      <w:pPr>
        <w:rPr>
          <w:rFonts w:ascii="Arial Black" w:hAnsi="Arial Black" w:cs="Arial Black"/>
          <w:sz w:val="28"/>
          <w:szCs w:val="28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6FD98594" wp14:editId="1859F22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:rsidR="009D25C4" w:rsidRPr="00C252FE" w:rsidRDefault="009D25C4" w:rsidP="009D25C4">
      <w:pPr>
        <w:rPr>
          <w:rFonts w:ascii="Noto Sans" w:hAnsi="Noto Sans" w:cs="Noto Sans"/>
          <w:b/>
        </w:rPr>
      </w:pP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 </w:t>
      </w:r>
      <w:r w:rsidR="00C252FE">
        <w:rPr>
          <w:rFonts w:ascii="Arial Black" w:hAnsi="Arial Black" w:cs="Arial Black"/>
          <w:sz w:val="28"/>
          <w:szCs w:val="28"/>
        </w:rPr>
        <w:t xml:space="preserve">     </w:t>
      </w:r>
      <w:r w:rsidRPr="009D25C4">
        <w:rPr>
          <w:rFonts w:ascii="Arial Black" w:hAnsi="Arial Black" w:cs="Arial Black"/>
          <w:sz w:val="28"/>
          <w:szCs w:val="28"/>
        </w:rPr>
        <w:t xml:space="preserve">    </w:t>
      </w:r>
      <w:r w:rsidRPr="00C252FE">
        <w:rPr>
          <w:rFonts w:ascii="Noto Sans" w:hAnsi="Noto Sans" w:cs="Noto Sans"/>
          <w:b/>
        </w:rPr>
        <w:t>Bytový podnik mesta Košice, s. r. o.</w:t>
      </w:r>
    </w:p>
    <w:p w:rsidR="009D25C4" w:rsidRPr="00C252FE" w:rsidRDefault="009D25C4" w:rsidP="009D25C4">
      <w:pPr>
        <w:jc w:val="center"/>
        <w:rPr>
          <w:rFonts w:ascii="Noto Sans" w:hAnsi="Noto Sans" w:cs="Noto Sans"/>
          <w:b/>
        </w:rPr>
      </w:pPr>
      <w:r w:rsidRPr="00C252FE">
        <w:rPr>
          <w:rFonts w:ascii="Noto Sans" w:hAnsi="Noto Sans" w:cs="Noto Sans"/>
          <w:b/>
        </w:rPr>
        <w:t xml:space="preserve">                                            </w:t>
      </w:r>
      <w:r w:rsidR="00C252FE">
        <w:rPr>
          <w:rFonts w:ascii="Noto Sans" w:hAnsi="Noto Sans" w:cs="Noto Sans"/>
          <w:b/>
        </w:rPr>
        <w:t xml:space="preserve">        </w:t>
      </w:r>
      <w:r w:rsidRPr="00C252FE">
        <w:rPr>
          <w:rFonts w:ascii="Noto Sans" w:hAnsi="Noto Sans" w:cs="Noto Sans"/>
          <w:b/>
        </w:rPr>
        <w:t xml:space="preserve">        Južné nábrežie 13, 042 19 Košice</w:t>
      </w:r>
    </w:p>
    <w:p w:rsidR="009D25C4" w:rsidRDefault="009D25C4" w:rsidP="009D25C4">
      <w:pPr>
        <w:jc w:val="both"/>
        <w:rPr>
          <w:b/>
        </w:rPr>
      </w:pPr>
    </w:p>
    <w:p w:rsidR="0046150D" w:rsidRPr="0046150D" w:rsidRDefault="0046150D" w:rsidP="0046150D">
      <w:pPr>
        <w:pStyle w:val="Standard"/>
        <w:rPr>
          <w:rFonts w:ascii="Noto Sans" w:hAnsi="Noto Sans" w:cs="Noto Sans"/>
          <w:b/>
          <w:bCs/>
          <w:sz w:val="20"/>
          <w:szCs w:val="20"/>
        </w:rPr>
      </w:pPr>
      <w:r w:rsidRPr="0046150D">
        <w:rPr>
          <w:rFonts w:ascii="Noto Sans" w:hAnsi="Noto Sans" w:cs="Noto Sans"/>
          <w:b/>
          <w:bCs/>
          <w:sz w:val="20"/>
          <w:szCs w:val="20"/>
        </w:rPr>
        <w:t>Spis.č.008/2020/§117</w:t>
      </w:r>
    </w:p>
    <w:p w:rsidR="009D25C4" w:rsidRPr="00E07D35" w:rsidRDefault="009D25C4" w:rsidP="009D25C4">
      <w:pPr>
        <w:jc w:val="both"/>
        <w:rPr>
          <w:rFonts w:ascii="Noto Sans" w:hAnsi="Noto Sans" w:cs="Noto Sans"/>
          <w:sz w:val="20"/>
          <w:szCs w:val="20"/>
        </w:rPr>
      </w:pPr>
    </w:p>
    <w:p w:rsidR="009D25C4" w:rsidRPr="00C252FE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252FE">
        <w:rPr>
          <w:rFonts w:ascii="Noto Sans" w:hAnsi="Noto Sans" w:cs="Noto Sans"/>
          <w:b/>
          <w:sz w:val="22"/>
          <w:szCs w:val="22"/>
        </w:rPr>
        <w:t xml:space="preserve">Výzva na predloženie ponuky - </w:t>
      </w:r>
    </w:p>
    <w:p w:rsidR="009D25C4" w:rsidRPr="00C252FE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252FE">
        <w:rPr>
          <w:rFonts w:ascii="Noto Sans" w:hAnsi="Noto Sans" w:cs="Noto Sans"/>
          <w:b/>
          <w:sz w:val="22"/>
          <w:szCs w:val="22"/>
        </w:rPr>
        <w:t xml:space="preserve">zákazka s nízkou hodnotou </w:t>
      </w:r>
    </w:p>
    <w:p w:rsidR="00B7319B" w:rsidRPr="00C252FE" w:rsidRDefault="00B7319B" w:rsidP="007F2502">
      <w:pPr>
        <w:rPr>
          <w:rFonts w:ascii="Noto Sans" w:hAnsi="Noto Sans" w:cs="Noto Sans"/>
          <w:b/>
          <w:sz w:val="22"/>
          <w:szCs w:val="22"/>
        </w:rPr>
      </w:pPr>
    </w:p>
    <w:p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E07D35">
        <w:rPr>
          <w:rFonts w:ascii="Noto Sans" w:hAnsi="Noto Sans" w:cs="Noto Sans"/>
          <w:sz w:val="20"/>
          <w:szCs w:val="20"/>
        </w:rPr>
        <w:t xml:space="preserve">117 </w:t>
      </w:r>
      <w:r w:rsidRPr="00E07D35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E07D35">
        <w:rPr>
          <w:rFonts w:ascii="Noto Sans" w:hAnsi="Noto Sans" w:cs="Noto Sans"/>
          <w:sz w:val="20"/>
          <w:szCs w:val="20"/>
        </w:rPr>
        <w:t>343</w:t>
      </w:r>
      <w:r w:rsidRPr="00E07D35">
        <w:rPr>
          <w:rFonts w:ascii="Noto Sans" w:hAnsi="Noto Sans" w:cs="Noto Sans"/>
          <w:sz w:val="20"/>
          <w:szCs w:val="20"/>
        </w:rPr>
        <w:t>/20</w:t>
      </w:r>
      <w:r w:rsidR="00982BB6" w:rsidRPr="00E07D35">
        <w:rPr>
          <w:rFonts w:ascii="Noto Sans" w:hAnsi="Noto Sans" w:cs="Noto Sans"/>
          <w:sz w:val="20"/>
          <w:szCs w:val="20"/>
        </w:rPr>
        <w:t>15</w:t>
      </w:r>
      <w:r w:rsidRPr="00E07D35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B7319B" w:rsidRPr="00E07D35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:rsidR="00B7319B" w:rsidRPr="00E07D35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Názov:</w:t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  <w:t xml:space="preserve">        Bytový podnik mesta Košice, s. r. o. </w:t>
      </w:r>
    </w:p>
    <w:p w:rsidR="00B7319B" w:rsidRPr="00E07D35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IČO:                                 </w:t>
      </w:r>
      <w:r w:rsidR="00C252FE">
        <w:rPr>
          <w:rFonts w:ascii="Noto Sans" w:hAnsi="Noto Sans" w:cs="Noto Sans"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</w:rPr>
        <w:t xml:space="preserve">  44 518 684 </w:t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Štatutárny orgán:                </w:t>
      </w:r>
      <w:r w:rsidR="00C252FE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 Ing.</w:t>
      </w:r>
      <w:r w:rsidR="00BC13A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Peter Vrábel</w:t>
      </w:r>
      <w:r w:rsidRPr="00E07D35">
        <w:rPr>
          <w:rFonts w:ascii="Noto Sans" w:hAnsi="Noto Sans" w:cs="Noto Sans"/>
          <w:sz w:val="20"/>
          <w:szCs w:val="20"/>
        </w:rPr>
        <w:t xml:space="preserve"> – konateľ spoločnosti</w:t>
      </w:r>
    </w:p>
    <w:p w:rsidR="00B7319B" w:rsidRPr="00E07D35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Sídlo:</w:t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E07D35">
        <w:rPr>
          <w:rFonts w:ascii="Noto Sans" w:hAnsi="Noto Sans" w:cs="Noto Sans"/>
          <w:sz w:val="20"/>
          <w:szCs w:val="20"/>
        </w:rPr>
        <w:tab/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Kontaktná osoba</w:t>
      </w:r>
      <w:r w:rsidR="005E042A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pre </w:t>
      </w:r>
      <w:r w:rsidR="005E042A" w:rsidRPr="00E07D35">
        <w:rPr>
          <w:rFonts w:ascii="Noto Sans" w:hAnsi="Noto Sans" w:cs="Noto Sans"/>
          <w:sz w:val="20"/>
          <w:szCs w:val="20"/>
        </w:rPr>
        <w:t>VO</w:t>
      </w:r>
      <w:r w:rsidRPr="00E07D35">
        <w:rPr>
          <w:rFonts w:ascii="Noto Sans" w:hAnsi="Noto Sans" w:cs="Noto Sans"/>
          <w:sz w:val="20"/>
          <w:szCs w:val="20"/>
        </w:rPr>
        <w:t xml:space="preserve">:    </w:t>
      </w:r>
      <w:r w:rsidR="006008E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Ing.</w:t>
      </w:r>
      <w:r w:rsidR="00BC13A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Ladislav Lipták</w:t>
      </w:r>
    </w:p>
    <w:p w:rsidR="00B7319B" w:rsidRPr="00E07D35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="00B7319B" w:rsidRPr="00E07D35">
        <w:rPr>
          <w:rFonts w:ascii="Noto Sans" w:hAnsi="Noto Sans" w:cs="Noto Sans"/>
          <w:sz w:val="20"/>
          <w:szCs w:val="20"/>
        </w:rPr>
        <w:t>Telefón:</w:t>
      </w:r>
      <w:r w:rsidR="00B7319B" w:rsidRPr="00E07D35">
        <w:rPr>
          <w:rFonts w:ascii="Noto Sans" w:hAnsi="Noto Sans" w:cs="Noto Sans"/>
          <w:sz w:val="20"/>
          <w:szCs w:val="20"/>
        </w:rPr>
        <w:tab/>
      </w:r>
      <w:r w:rsidR="00B7319B" w:rsidRPr="00E07D35">
        <w:rPr>
          <w:rFonts w:ascii="Noto Sans" w:hAnsi="Noto Sans" w:cs="Noto Sans"/>
          <w:sz w:val="20"/>
          <w:szCs w:val="20"/>
        </w:rPr>
        <w:tab/>
      </w:r>
      <w:r w:rsidR="0085046C" w:rsidRPr="00E07D35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E07D35">
        <w:rPr>
          <w:rFonts w:ascii="Noto Sans" w:hAnsi="Noto Sans" w:cs="Noto Sans"/>
          <w:sz w:val="20"/>
          <w:szCs w:val="20"/>
        </w:rPr>
        <w:t>+421 5578713</w:t>
      </w:r>
      <w:r w:rsidR="00CF22FA" w:rsidRPr="00E07D35">
        <w:rPr>
          <w:rFonts w:ascii="Noto Sans" w:hAnsi="Noto Sans" w:cs="Noto Sans"/>
          <w:sz w:val="20"/>
          <w:szCs w:val="20"/>
        </w:rPr>
        <w:t>5</w:t>
      </w:r>
      <w:r w:rsidR="00B7319B" w:rsidRPr="00E07D35">
        <w:rPr>
          <w:rFonts w:ascii="Noto Sans" w:hAnsi="Noto Sans" w:cs="Noto Sans"/>
          <w:sz w:val="20"/>
          <w:szCs w:val="20"/>
        </w:rPr>
        <w:t>0</w:t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Pracovný kontakt pre vysvetlenie</w:t>
      </w:r>
    </w:p>
    <w:p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421E24" w:rsidRPr="00E07D35">
        <w:rPr>
          <w:rFonts w:ascii="Noto Sans" w:hAnsi="Noto Sans" w:cs="Noto Sans"/>
          <w:sz w:val="20"/>
          <w:szCs w:val="20"/>
        </w:rPr>
        <w:t>ladislav.liptak</w:t>
      </w:r>
      <w:r w:rsidRPr="00E07D35">
        <w:rPr>
          <w:rFonts w:ascii="Noto Sans" w:hAnsi="Noto Sans" w:cs="Noto Sans"/>
          <w:sz w:val="20"/>
          <w:szCs w:val="20"/>
        </w:rPr>
        <w:t xml:space="preserve">@bpmk.sk </w:t>
      </w:r>
    </w:p>
    <w:p w:rsidR="00B7319B" w:rsidRPr="00E07D35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E07D35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:rsidR="00C75263" w:rsidRPr="00E07D35" w:rsidRDefault="00C75263" w:rsidP="00C75263">
      <w:pPr>
        <w:jc w:val="both"/>
        <w:rPr>
          <w:rFonts w:ascii="Noto Sans" w:hAnsi="Noto Sans" w:cs="Noto Sans"/>
          <w:sz w:val="20"/>
          <w:szCs w:val="20"/>
        </w:rPr>
      </w:pPr>
    </w:p>
    <w:p w:rsidR="00C75263" w:rsidRPr="00E07D35" w:rsidRDefault="00C75263" w:rsidP="00C75263">
      <w:pPr>
        <w:numPr>
          <w:ilvl w:val="0"/>
          <w:numId w:val="15"/>
        </w:numPr>
        <w:tabs>
          <w:tab w:val="num" w:pos="360"/>
        </w:tabs>
        <w:ind w:hanging="72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Názov predmetu zákazky:</w:t>
      </w:r>
      <w:r w:rsidRPr="00E07D35">
        <w:rPr>
          <w:rFonts w:ascii="Noto Sans" w:hAnsi="Noto Sans" w:cs="Noto Sans"/>
          <w:b/>
          <w:sz w:val="20"/>
          <w:szCs w:val="20"/>
        </w:rPr>
        <w:t xml:space="preserve"> </w:t>
      </w:r>
      <w:r w:rsidRPr="00E07D35"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:rsidR="00C75263" w:rsidRPr="00E07D35" w:rsidRDefault="0086178F" w:rsidP="00C75263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color w:val="000000"/>
          <w:sz w:val="20"/>
          <w:szCs w:val="20"/>
        </w:rPr>
        <w:t>Nákup a dodávka p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racovn</w:t>
      </w:r>
      <w:r w:rsidRPr="00E07D35">
        <w:rPr>
          <w:rFonts w:ascii="Noto Sans" w:hAnsi="Noto Sans" w:cs="Noto Sans"/>
          <w:b/>
          <w:color w:val="000000"/>
          <w:sz w:val="20"/>
          <w:szCs w:val="20"/>
        </w:rPr>
        <w:t xml:space="preserve">ých 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prostriedk</w:t>
      </w:r>
      <w:r w:rsidRPr="00E07D35">
        <w:rPr>
          <w:rFonts w:ascii="Noto Sans" w:hAnsi="Noto Sans" w:cs="Noto Sans"/>
          <w:b/>
          <w:color w:val="000000"/>
          <w:sz w:val="20"/>
          <w:szCs w:val="20"/>
        </w:rPr>
        <w:t>ov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 xml:space="preserve"> (OOPP) pre zamestnancov BPMK, </w:t>
      </w:r>
      <w:proofErr w:type="spellStart"/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s.r.o</w:t>
      </w:r>
      <w:proofErr w:type="spellEnd"/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.“</w:t>
      </w:r>
      <w:r w:rsidR="00C75263" w:rsidRPr="00E07D35">
        <w:rPr>
          <w:rFonts w:ascii="Noto Sans" w:hAnsi="Noto Sans" w:cs="Noto Sans"/>
          <w:b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B37C41" w:rsidRPr="00E07D35" w:rsidRDefault="00C75263" w:rsidP="00C752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    </w:t>
      </w:r>
    </w:p>
    <w:p w:rsidR="00C75263" w:rsidRPr="00E07D35" w:rsidRDefault="00B37C41" w:rsidP="00C75263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</w:t>
      </w:r>
      <w:r w:rsidR="00C75263" w:rsidRPr="00E07D35">
        <w:rPr>
          <w:rFonts w:ascii="Noto Sans" w:hAnsi="Noto Sans" w:cs="Noto Sans"/>
          <w:sz w:val="20"/>
          <w:szCs w:val="20"/>
        </w:rPr>
        <w:t>Zákazka je na dodanie tovaru</w:t>
      </w:r>
      <w:r w:rsidRPr="00E07D35">
        <w:rPr>
          <w:rFonts w:ascii="Noto Sans" w:hAnsi="Noto Sans" w:cs="Noto Sans"/>
          <w:sz w:val="20"/>
          <w:szCs w:val="20"/>
        </w:rPr>
        <w:t xml:space="preserve">                       </w:t>
      </w:r>
      <w:r w:rsidRPr="00E07D35">
        <w:rPr>
          <w:rFonts w:ascii="Noto Sans" w:hAnsi="Noto Sans" w:cs="Noto Sans"/>
          <w:b/>
          <w:bCs/>
          <w:sz w:val="20"/>
          <w:szCs w:val="20"/>
        </w:rPr>
        <w:t>CPV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: 18110000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-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3</w:t>
      </w:r>
    </w:p>
    <w:p w:rsidR="00C75263" w:rsidRPr="00E07D35" w:rsidRDefault="00C75263" w:rsidP="00C75263">
      <w:pPr>
        <w:jc w:val="both"/>
        <w:rPr>
          <w:rFonts w:ascii="Noto Sans" w:hAnsi="Noto Sans" w:cs="Noto Sans"/>
          <w:i/>
          <w:sz w:val="20"/>
          <w:szCs w:val="20"/>
        </w:rPr>
      </w:pPr>
    </w:p>
    <w:p w:rsidR="00C75263" w:rsidRPr="00E07D35" w:rsidRDefault="00C75263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3.  Stručný opis predmetu zákazky:</w:t>
      </w:r>
    </w:p>
    <w:p w:rsidR="00C75263" w:rsidRPr="00E07D35" w:rsidRDefault="00C75263" w:rsidP="00C75263">
      <w:pPr>
        <w:ind w:left="36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Predmetom zákazky je dodávka osobných ochranných pracovných prostriedkov (OOPP) pre zamestnancov </w:t>
      </w:r>
      <w:r w:rsidRPr="00E07D35">
        <w:rPr>
          <w:rFonts w:ascii="Noto Sans" w:hAnsi="Noto Sans" w:cs="Noto Sans"/>
          <w:color w:val="000000"/>
          <w:sz w:val="20"/>
          <w:szCs w:val="20"/>
        </w:rPr>
        <w:t xml:space="preserve">BPMK, </w:t>
      </w:r>
      <w:proofErr w:type="spellStart"/>
      <w:r w:rsidRPr="00E07D35">
        <w:rPr>
          <w:rFonts w:ascii="Noto Sans" w:hAnsi="Noto Sans" w:cs="Noto Sans"/>
          <w:color w:val="000000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color w:val="000000"/>
          <w:sz w:val="20"/>
          <w:szCs w:val="20"/>
        </w:rPr>
        <w:t>.. Na OOPP majú zamestnanci nárok v zmysle nariadenia vlády SR č. 395/2006 Z. z. o minimálnych požiadavkách na poskytovanie a používanie osobných ochranných pracovných prostriedkov. Toto nariadenie vlády ustanovuje minimálne požiadavky na poskytovanie a používanie osobných ochranných pracovných prostriedkov potrebných na ochranu života a zdravia zamestnancov pri práci.</w:t>
      </w:r>
    </w:p>
    <w:p w:rsidR="00C75263" w:rsidRPr="00E07D35" w:rsidRDefault="00C75263" w:rsidP="00C75263">
      <w:pPr>
        <w:ind w:left="360" w:hanging="6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color w:val="000000"/>
          <w:sz w:val="20"/>
          <w:szCs w:val="20"/>
        </w:rPr>
        <w:t xml:space="preserve"> Verejný obstarávateľ bude pri vystavení objednávky úspešnému uchádzačovi požadovať ku každému ochrannému pracovnému prostriedku priložiť certifikát alebo vyhlásenie o zhode vydané podľa § 12 zákona č. 264/1999 Z. z. o technických požiadavkách na výrobky a o posudzovaní zhody v znení neskorších predpisov. </w:t>
      </w:r>
    </w:p>
    <w:p w:rsidR="00C75263" w:rsidRPr="00E07D35" w:rsidRDefault="00C75263" w:rsidP="00C75263">
      <w:pPr>
        <w:ind w:left="360" w:hanging="60"/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</w:rPr>
        <w:t xml:space="preserve"> Požadovaný tovar je podrobne vyšpecifikovaný v  Prílohe č. 1 tejto výzvy.</w:t>
      </w:r>
    </w:p>
    <w:p w:rsidR="00C75263" w:rsidRPr="00E07D35" w:rsidRDefault="00C75263" w:rsidP="00C75263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75263" w:rsidRPr="00E07D35" w:rsidRDefault="00C75263" w:rsidP="00C75263">
      <w:pPr>
        <w:jc w:val="both"/>
        <w:rPr>
          <w:rFonts w:ascii="Noto Sans" w:hAnsi="Noto Sans" w:cs="Noto Sans"/>
          <w:b/>
          <w:color w:val="FF0000"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4.  Predpokladaná hodnota zákazky:</w:t>
      </w:r>
      <w:r w:rsidRPr="00E07D35">
        <w:rPr>
          <w:rFonts w:ascii="Noto Sans" w:hAnsi="Noto Sans" w:cs="Noto Sans"/>
          <w:b/>
          <w:sz w:val="20"/>
          <w:szCs w:val="20"/>
        </w:rPr>
        <w:t xml:space="preserve">  1</w:t>
      </w:r>
      <w:r w:rsidR="00B37C41" w:rsidRPr="00E07D35">
        <w:rPr>
          <w:rFonts w:ascii="Noto Sans" w:hAnsi="Noto Sans" w:cs="Noto Sans"/>
          <w:b/>
          <w:sz w:val="20"/>
          <w:szCs w:val="20"/>
        </w:rPr>
        <w:t>5</w:t>
      </w:r>
      <w:r w:rsidRPr="00E07D35">
        <w:rPr>
          <w:rFonts w:ascii="Noto Sans" w:hAnsi="Noto Sans" w:cs="Noto Sans"/>
          <w:b/>
          <w:sz w:val="20"/>
          <w:szCs w:val="20"/>
        </w:rPr>
        <w:t> </w:t>
      </w:r>
      <w:r w:rsidR="00B37C41" w:rsidRPr="00E07D35">
        <w:rPr>
          <w:rFonts w:ascii="Noto Sans" w:hAnsi="Noto Sans" w:cs="Noto Sans"/>
          <w:b/>
          <w:sz w:val="20"/>
          <w:szCs w:val="20"/>
        </w:rPr>
        <w:t>000</w:t>
      </w:r>
      <w:r w:rsidRPr="00E07D35">
        <w:rPr>
          <w:rFonts w:ascii="Noto Sans" w:hAnsi="Noto Sans" w:cs="Noto Sans"/>
          <w:b/>
          <w:sz w:val="20"/>
          <w:szCs w:val="20"/>
        </w:rPr>
        <w:t>,00  € bez DPH</w:t>
      </w:r>
    </w:p>
    <w:p w:rsidR="00C75263" w:rsidRPr="00E07D35" w:rsidRDefault="00C75263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:rsidR="00C75263" w:rsidRPr="00E07D35" w:rsidRDefault="00C75263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5.  Základné zmluvné podmienky:</w:t>
      </w:r>
    </w:p>
    <w:p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 Miesto dodania tovaru: BPMK, </w:t>
      </w:r>
      <w:proofErr w:type="spellStart"/>
      <w:r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., Južné nábrežie 13, 042 19 Košice – sklad MTZ.   </w:t>
      </w:r>
    </w:p>
    <w:p w:rsidR="00B37C41" w:rsidRPr="00E07D35" w:rsidRDefault="00C75263" w:rsidP="00C75263">
      <w:pPr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Dodacie podmienky:  do 10 pracovných dní od termínu doručenia objednávky    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- Lehota na plnenie predmetu zákazky: </w:t>
      </w:r>
      <w:r w:rsidRPr="00E07D35">
        <w:rPr>
          <w:rFonts w:ascii="Noto Sans" w:hAnsi="Noto Sans" w:cs="Noto Sans"/>
          <w:sz w:val="20"/>
          <w:szCs w:val="20"/>
          <w:u w:val="single"/>
        </w:rPr>
        <w:t>do vyčerpania finančného limitu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="00B37C41" w:rsidRPr="00E07D35">
        <w:rPr>
          <w:rFonts w:ascii="Noto Sans" w:hAnsi="Noto Sans" w:cs="Noto Sans"/>
          <w:sz w:val="20"/>
          <w:szCs w:val="20"/>
        </w:rPr>
        <w:t xml:space="preserve">15.000 Eur bez </w:t>
      </w:r>
    </w:p>
    <w:p w:rsidR="00C75263" w:rsidRPr="00E07D35" w:rsidRDefault="00B37C41" w:rsidP="00C75263">
      <w:pPr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DPH </w:t>
      </w:r>
      <w:r w:rsidR="00C75263" w:rsidRPr="00E07D35">
        <w:rPr>
          <w:rFonts w:ascii="Noto Sans" w:hAnsi="Noto Sans" w:cs="Noto Sans"/>
          <w:sz w:val="20"/>
          <w:szCs w:val="20"/>
        </w:rPr>
        <w:t xml:space="preserve">- </w:t>
      </w:r>
      <w:r w:rsidR="00C75263" w:rsidRPr="00E07D35">
        <w:rPr>
          <w:rFonts w:ascii="Noto Sans" w:hAnsi="Noto Sans" w:cs="Noto Sans"/>
          <w:bCs/>
          <w:sz w:val="20"/>
          <w:szCs w:val="20"/>
        </w:rPr>
        <w:t>opakované objednávky počas roku 2020.</w:t>
      </w:r>
    </w:p>
    <w:p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 xml:space="preserve">     -  </w:t>
      </w:r>
      <w:r w:rsidRPr="00E07D35">
        <w:rPr>
          <w:rFonts w:ascii="Noto Sans" w:hAnsi="Noto Sans" w:cs="Noto Sans"/>
          <w:bCs/>
          <w:sz w:val="20"/>
          <w:szCs w:val="20"/>
        </w:rPr>
        <w:t>Platobné podmienky: Platba za tovar faktúrou</w:t>
      </w:r>
    </w:p>
    <w:p w:rsidR="00C75263" w:rsidRPr="00E07D35" w:rsidRDefault="00C75263" w:rsidP="00204A76">
      <w:pPr>
        <w:tabs>
          <w:tab w:val="left" w:pos="360"/>
          <w:tab w:val="left" w:pos="54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 Lehota splatnosti faktúr: 60 dní</w:t>
      </w:r>
      <w:r w:rsidR="002D02EF" w:rsidRPr="00E07D35">
        <w:rPr>
          <w:rFonts w:ascii="Noto Sans" w:hAnsi="Noto Sans" w:cs="Noto Sans"/>
          <w:sz w:val="20"/>
          <w:szCs w:val="20"/>
        </w:rPr>
        <w:t xml:space="preserve"> po doručení</w:t>
      </w:r>
    </w:p>
    <w:p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</w:t>
      </w:r>
      <w:r w:rsidR="00204A76" w:rsidRPr="00E07D35">
        <w:rPr>
          <w:rFonts w:ascii="Noto Sans" w:hAnsi="Noto Sans" w:cs="Noto Sans"/>
          <w:sz w:val="20"/>
          <w:szCs w:val="20"/>
        </w:rPr>
        <w:t xml:space="preserve">- </w:t>
      </w:r>
      <w:r w:rsidRPr="00E07D35">
        <w:rPr>
          <w:rFonts w:ascii="Noto Sans" w:hAnsi="Noto Sans" w:cs="Noto Sans"/>
          <w:sz w:val="20"/>
          <w:szCs w:val="20"/>
        </w:rPr>
        <w:t xml:space="preserve">Verejný obstarávateľ si vyhradzuje právo podľa vlastnej  potreby  objednávať aj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podobné ochranné pracovné prostriedky pre zamestnancov BPMK, </w:t>
      </w:r>
      <w:proofErr w:type="spellStart"/>
      <w:r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., ako sú  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vyšpecifikované v Prílohe č. 1 tejto výzvy. </w:t>
      </w:r>
    </w:p>
    <w:p w:rsidR="00C75263" w:rsidRPr="00E07D35" w:rsidRDefault="00C75263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C8242E" w:rsidRPr="00E07D35" w:rsidRDefault="00C8242E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C8242E" w:rsidRPr="00E07D35" w:rsidRDefault="00C8242E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C8242E" w:rsidRPr="00E07D35" w:rsidRDefault="00C8242E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A52417" w:rsidRPr="00E07D35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E07D35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E07D35">
        <w:rPr>
          <w:rFonts w:ascii="Noto Sans" w:hAnsi="Noto Sans" w:cs="Noto Sans"/>
          <w:b/>
          <w:sz w:val="20"/>
          <w:szCs w:val="20"/>
        </w:rPr>
        <w:t>(</w:t>
      </w:r>
      <w:r w:rsidR="005E042A" w:rsidRPr="007A6BCF">
        <w:rPr>
          <w:rFonts w:ascii="Noto Sans" w:hAnsi="Noto Sans" w:cs="Noto Sans"/>
          <w:bCs/>
          <w:sz w:val="20"/>
          <w:szCs w:val="20"/>
        </w:rPr>
        <w:t>vrátane skenovaných dokladov</w:t>
      </w:r>
      <w:r w:rsidR="005E042A" w:rsidRPr="00E07D35">
        <w:rPr>
          <w:rFonts w:ascii="Noto Sans" w:hAnsi="Noto Sans" w:cs="Noto Sans"/>
          <w:b/>
          <w:sz w:val="20"/>
          <w:szCs w:val="20"/>
        </w:rPr>
        <w:t>)</w:t>
      </w:r>
      <w:r w:rsidR="00D86C7C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Ponuky musia byť    doručené elektronicky prostredníctvom systému </w:t>
      </w:r>
      <w:proofErr w:type="spellStart"/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>Josephine</w:t>
      </w:r>
      <w:proofErr w:type="spellEnd"/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 v termíne do</w:t>
      </w:r>
      <w:r w:rsidR="005E042A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757B26">
        <w:rPr>
          <w:rFonts w:ascii="Noto Sans" w:hAnsi="Noto Sans" w:cs="Noto Sans"/>
          <w:b/>
          <w:sz w:val="20"/>
          <w:szCs w:val="20"/>
          <w:shd w:val="clear" w:color="auto" w:fill="FFFFFF"/>
        </w:rPr>
        <w:t>9</w:t>
      </w:r>
      <w:bookmarkStart w:id="0" w:name="_GoBack"/>
      <w:bookmarkEnd w:id="0"/>
      <w:r w:rsidR="00115E53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7A6BCF">
        <w:rPr>
          <w:rFonts w:ascii="Noto Sans" w:hAnsi="Noto Sans" w:cs="Noto Sans"/>
          <w:b/>
          <w:sz w:val="20"/>
          <w:szCs w:val="20"/>
          <w:shd w:val="clear" w:color="auto" w:fill="FFFFFF"/>
        </w:rPr>
        <w:t>03</w:t>
      </w:r>
      <w:r w:rsidR="00115E53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115E53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10:00 hod.</w:t>
      </w:r>
      <w:r w:rsidR="00D86C7C" w:rsidRPr="00E07D35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:rsidR="00E70B3D" w:rsidRPr="00E07D35" w:rsidRDefault="00E70B3D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F34F17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7</w:t>
      </w:r>
      <w:r w:rsidR="00B7319B" w:rsidRPr="00E07D35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8E1760" w:rsidRPr="00E07D35" w:rsidRDefault="008C03EF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</w:t>
      </w:r>
      <w:r w:rsidR="00F568D5" w:rsidRPr="00E07D35">
        <w:rPr>
          <w:rFonts w:ascii="Noto Sans" w:hAnsi="Noto Sans" w:cs="Noto Sans"/>
          <w:sz w:val="20"/>
          <w:szCs w:val="20"/>
        </w:rPr>
        <w:t xml:space="preserve">Uchádzačom predložená cena zahŕňa všetky náklady spojené s dodaním </w:t>
      </w:r>
      <w:r w:rsidR="00B37C41" w:rsidRPr="00E07D35">
        <w:rPr>
          <w:rFonts w:ascii="Noto Sans" w:hAnsi="Noto Sans" w:cs="Noto Sans"/>
          <w:sz w:val="20"/>
          <w:szCs w:val="20"/>
        </w:rPr>
        <w:t>pracovných prostriedkov</w:t>
      </w:r>
      <w:r w:rsidR="009C01DE" w:rsidRPr="00E07D35">
        <w:rPr>
          <w:rFonts w:ascii="Noto Sans" w:hAnsi="Noto Sans" w:cs="Noto Sans"/>
          <w:sz w:val="20"/>
          <w:szCs w:val="20"/>
        </w:rPr>
        <w:t xml:space="preserve"> </w:t>
      </w:r>
      <w:r w:rsidR="00F568D5" w:rsidRPr="00E07D35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E07D35">
        <w:rPr>
          <w:rFonts w:ascii="Noto Sans" w:hAnsi="Noto Sans" w:cs="Noto Sans"/>
          <w:sz w:val="20"/>
          <w:szCs w:val="20"/>
        </w:rPr>
        <w:t>určenia</w:t>
      </w:r>
      <w:r w:rsidR="00F568D5" w:rsidRPr="00E07D35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  <w:r w:rsidR="00B37C41" w:rsidRPr="00E07D35">
        <w:rPr>
          <w:rFonts w:ascii="Noto Sans" w:hAnsi="Noto Sans" w:cs="Noto Sans"/>
          <w:sz w:val="20"/>
          <w:szCs w:val="20"/>
        </w:rPr>
        <w:t xml:space="preserve"> </w:t>
      </w:r>
      <w:r w:rsidR="00F568D5" w:rsidRPr="00E07D35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cenu v €/ks</w:t>
      </w:r>
      <w:r w:rsidR="00AA18C9" w:rsidRPr="00E07D35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E07D35">
        <w:rPr>
          <w:rFonts w:ascii="Noto Sans" w:hAnsi="Noto Sans" w:cs="Noto Sans"/>
          <w:b/>
          <w:bCs/>
          <w:sz w:val="20"/>
          <w:szCs w:val="20"/>
        </w:rPr>
        <w:t xml:space="preserve"> a jednotkovú cenu spolu za predmet zákazky v € bez DPH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.</w:t>
      </w:r>
      <w:r w:rsidR="00F568D5" w:rsidRPr="00E07D35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:rsidR="00B37C41" w:rsidRPr="00E07D35" w:rsidRDefault="00B37C4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FC0AE9" w:rsidRPr="00E07D35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8</w:t>
      </w:r>
      <w:r w:rsidR="00B7319B" w:rsidRPr="00E07D35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E07D35">
        <w:rPr>
          <w:rFonts w:ascii="Noto Sans" w:hAnsi="Noto Sans" w:cs="Noto Sans"/>
          <w:sz w:val="20"/>
          <w:szCs w:val="20"/>
        </w:rPr>
        <w:t xml:space="preserve">  </w:t>
      </w:r>
    </w:p>
    <w:p w:rsidR="00D839D6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Je jednoetapový.</w:t>
      </w:r>
    </w:p>
    <w:p w:rsidR="00B37C41" w:rsidRPr="00E07D35" w:rsidRDefault="00B37C4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9</w:t>
      </w:r>
      <w:r w:rsidR="00B7319B" w:rsidRPr="00E07D35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5272E2" w:rsidRPr="00E07D35" w:rsidRDefault="00AA18C9" w:rsidP="008C03EF">
      <w:pPr>
        <w:ind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    </w:t>
      </w:r>
      <w:r w:rsidR="008C03EF" w:rsidRPr="00E07D35">
        <w:rPr>
          <w:rFonts w:ascii="Noto Sans" w:hAnsi="Noto Sans" w:cs="Noto Sans"/>
          <w:b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</w:rPr>
        <w:t>Ponuku je potrebné predložiť v príslušnom elektronickom systéme na komunikáciu vo  verejnom obstarávaní.</w:t>
      </w:r>
      <w:r w:rsidR="005272E2" w:rsidRPr="00E07D35">
        <w:rPr>
          <w:rFonts w:ascii="Noto Sans" w:hAnsi="Noto Sans" w:cs="Noto Sans"/>
          <w:sz w:val="20"/>
          <w:szCs w:val="20"/>
        </w:rPr>
        <w:t xml:space="preserve"> </w:t>
      </w:r>
      <w:r w:rsidR="00EB5D83" w:rsidRPr="00E07D35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D839D6" w:rsidRPr="00E07D35">
        <w:rPr>
          <w:rFonts w:ascii="Noto Sans" w:hAnsi="Noto Sans" w:cs="Noto Sans"/>
          <w:sz w:val="20"/>
          <w:szCs w:val="20"/>
        </w:rPr>
        <w:t>,</w:t>
      </w:r>
      <w:r w:rsidR="00EB5D83" w:rsidRPr="00E07D35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D839D6" w:rsidRPr="00E07D35">
        <w:rPr>
          <w:rFonts w:ascii="Noto Sans" w:hAnsi="Noto Sans" w:cs="Noto Sans"/>
          <w:sz w:val="20"/>
          <w:szCs w:val="20"/>
        </w:rPr>
        <w:t>,</w:t>
      </w:r>
      <w:r w:rsidR="00EB5D83" w:rsidRPr="00E07D35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zákazky podľa Výzvy, takéto ponuky nebudú  brané do úvahy a nebudú vyhodnocované. Ponuku uchádzač zašle spolu so skenovanými dokladmi, ak sú požadované. Ponuka musí byť predložená na celý predmet zákazky. 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>K ponuke je potrebné  priložiť aj</w:t>
      </w:r>
      <w:r w:rsidR="004F011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EB5D83" w:rsidRPr="00E07D35">
        <w:rPr>
          <w:rFonts w:ascii="Noto Sans" w:hAnsi="Noto Sans" w:cs="Noto Sans"/>
          <w:b/>
          <w:bCs/>
          <w:sz w:val="20"/>
          <w:szCs w:val="20"/>
        </w:rPr>
        <w:t>nacenen</w:t>
      </w:r>
      <w:r w:rsidR="004F0116">
        <w:rPr>
          <w:rFonts w:ascii="Noto Sans" w:hAnsi="Noto Sans" w:cs="Noto Sans"/>
          <w:b/>
          <w:bCs/>
          <w:sz w:val="20"/>
          <w:szCs w:val="20"/>
        </w:rPr>
        <w:t>ý</w:t>
      </w:r>
      <w:proofErr w:type="spellEnd"/>
      <w:r w:rsidR="004F011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F0116">
        <w:rPr>
          <w:rFonts w:ascii="Noto Sans" w:hAnsi="Noto Sans" w:cs="Noto Sans"/>
          <w:b/>
          <w:bCs/>
          <w:sz w:val="20"/>
          <w:szCs w:val="20"/>
        </w:rPr>
        <w:t xml:space="preserve">Cenový návrh za dodanie predmetu  zákazky  -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>špecifikáciu</w:t>
      </w:r>
      <w:r w:rsidR="00C8242E" w:rsidRPr="00E07D35">
        <w:rPr>
          <w:rFonts w:ascii="Noto Sans" w:hAnsi="Noto Sans" w:cs="Noto Sans"/>
          <w:b/>
          <w:bCs/>
          <w:sz w:val="20"/>
          <w:szCs w:val="20"/>
        </w:rPr>
        <w:t xml:space="preserve"> OOPP- </w:t>
      </w:r>
      <w:r w:rsidR="00D839D6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>materiálu p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 xml:space="preserve">odľa Prílohy č.1. </w:t>
      </w:r>
    </w:p>
    <w:p w:rsidR="00EB5D83" w:rsidRPr="00E07D35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:rsidR="00EB5D83" w:rsidRPr="00E07D35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E07D35">
        <w:rPr>
          <w:rFonts w:ascii="Noto Sans" w:hAnsi="Noto Sans" w:cs="Noto Sans"/>
          <w:sz w:val="20"/>
          <w:szCs w:val="20"/>
        </w:rPr>
        <w:t xml:space="preserve">   </w:t>
      </w:r>
      <w:r w:rsidRPr="00E07D35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:rsidR="00EB5D83" w:rsidRPr="00E07D35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:rsidR="00EB5D83" w:rsidRPr="00E07D35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E07D35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E07D35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E07D35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E07D35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E07D35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E07D35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E07D35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E07D35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E07D35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:rsidR="005772D7" w:rsidRPr="00E07D35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8242E" w:rsidRPr="00E07D35" w:rsidRDefault="00B7319B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F34F17" w:rsidRPr="00E07D35">
        <w:rPr>
          <w:rFonts w:ascii="Noto Sans" w:hAnsi="Noto Sans" w:cs="Noto Sans"/>
          <w:b/>
          <w:sz w:val="20"/>
          <w:szCs w:val="20"/>
        </w:rPr>
        <w:t>0</w:t>
      </w:r>
      <w:r w:rsidRPr="00E07D35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:rsidR="00C071AE" w:rsidRDefault="00C071A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:rsidR="00EB5D83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:rsidR="00C071AE" w:rsidRPr="00E07D35" w:rsidRDefault="00C071A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:rsidR="00992AFB" w:rsidRPr="00E07D35" w:rsidRDefault="00992AFB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:rsidR="00C8242E" w:rsidRPr="00E07D35" w:rsidRDefault="00C8242E" w:rsidP="00C8242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:rsidR="001944B9" w:rsidRPr="00E07D35" w:rsidRDefault="001944B9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:rsidR="00C8242E" w:rsidRPr="00E07D35" w:rsidRDefault="00C8242E" w:rsidP="00C8242E">
      <w:pPr>
        <w:pStyle w:val="Odsekzoznamu"/>
        <w:rPr>
          <w:rFonts w:ascii="Noto Sans" w:hAnsi="Noto Sans" w:cs="Noto Sans"/>
          <w:sz w:val="20"/>
          <w:szCs w:val="20"/>
        </w:rPr>
      </w:pPr>
    </w:p>
    <w:p w:rsidR="00E07D35" w:rsidRDefault="00C8242E" w:rsidP="00C8242E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- </w:t>
      </w:r>
      <w:r w:rsidR="00763697" w:rsidRPr="00E07D35">
        <w:rPr>
          <w:rFonts w:ascii="Noto Sans" w:hAnsi="Noto Sans" w:cs="Noto Sans"/>
          <w:sz w:val="20"/>
          <w:szCs w:val="20"/>
        </w:rPr>
        <w:t xml:space="preserve"> </w:t>
      </w:r>
      <w:r w:rsidR="001944B9" w:rsidRPr="00E07D35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E07D35">
        <w:rPr>
          <w:rFonts w:ascii="Noto Sans" w:hAnsi="Noto Sans" w:cs="Noto Sans"/>
          <w:sz w:val="20"/>
          <w:szCs w:val="20"/>
        </w:rPr>
        <w:t xml:space="preserve"> </w:t>
      </w:r>
      <w:r w:rsidR="001944B9" w:rsidRPr="00E07D35">
        <w:rPr>
          <w:rFonts w:ascii="Noto Sans" w:hAnsi="Noto Sans" w:cs="Noto Sans"/>
          <w:sz w:val="20"/>
          <w:szCs w:val="20"/>
        </w:rPr>
        <w:t xml:space="preserve">f) zákona </w:t>
      </w:r>
    </w:p>
    <w:p w:rsidR="00E07D35" w:rsidRDefault="00E07D35" w:rsidP="00C8242E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</w:t>
      </w:r>
      <w:r w:rsidR="001944B9" w:rsidRPr="00E07D35">
        <w:rPr>
          <w:rFonts w:ascii="Noto Sans" w:hAnsi="Noto Sans" w:cs="Noto Sans"/>
          <w:sz w:val="20"/>
          <w:szCs w:val="20"/>
        </w:rPr>
        <w:t xml:space="preserve">343/2015Z.z. O verejnom obstarávaní a o zmene a doplnení niektorých zákonov v znení </w:t>
      </w:r>
    </w:p>
    <w:p w:rsidR="00D839D6" w:rsidRPr="00E07D35" w:rsidRDefault="00E07D35" w:rsidP="00C8242E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</w:t>
      </w:r>
      <w:r w:rsidR="001944B9" w:rsidRPr="00E07D35">
        <w:rPr>
          <w:rFonts w:ascii="Noto Sans" w:hAnsi="Noto Sans" w:cs="Noto Sans"/>
          <w:sz w:val="20"/>
          <w:szCs w:val="20"/>
        </w:rPr>
        <w:t>neskorších predpisov</w:t>
      </w:r>
      <w:r w:rsidR="00F0370B" w:rsidRPr="00E07D35">
        <w:rPr>
          <w:rFonts w:ascii="Noto Sans" w:hAnsi="Noto Sans" w:cs="Noto Sans"/>
          <w:sz w:val="20"/>
          <w:szCs w:val="20"/>
        </w:rPr>
        <w:t>.</w:t>
      </w: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4F0116" w:rsidRDefault="004F0116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1944B9" w:rsidRPr="00E07D35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E07D35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AD65EF" w:rsidRPr="00E07D35" w:rsidRDefault="00565171" w:rsidP="00C8242E">
      <w:pPr>
        <w:numPr>
          <w:ilvl w:val="0"/>
          <w:numId w:val="16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E07D35"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</w:t>
      </w:r>
      <w:r w:rsidR="0037279D" w:rsidRPr="00E07D35">
        <w:rPr>
          <w:rFonts w:ascii="Noto Sans" w:hAnsi="Noto Sans" w:cs="Noto Sans"/>
          <w:iCs/>
          <w:sz w:val="20"/>
          <w:szCs w:val="20"/>
        </w:rPr>
        <w:t>.</w:t>
      </w:r>
      <w:r w:rsidRPr="00E07D35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C8242E" w:rsidRPr="00E07D35" w:rsidRDefault="00C8242E" w:rsidP="00C8242E">
      <w:pPr>
        <w:ind w:left="284"/>
        <w:jc w:val="both"/>
        <w:rPr>
          <w:rFonts w:ascii="Noto Sans" w:hAnsi="Noto Sans" w:cs="Noto Sans"/>
          <w:iCs/>
          <w:sz w:val="20"/>
          <w:szCs w:val="20"/>
        </w:rPr>
      </w:pPr>
    </w:p>
    <w:p w:rsidR="00E70B3D" w:rsidRPr="00E07D35" w:rsidRDefault="00F0370B" w:rsidP="00C8242E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E07D35"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Príloha č. 2 Výzvy), </w:t>
      </w:r>
    </w:p>
    <w:p w:rsidR="00C8242E" w:rsidRPr="00E07D35" w:rsidRDefault="00C8242E" w:rsidP="00C8242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:rsidR="00AD72F3" w:rsidRPr="00E07D35" w:rsidRDefault="00F0370B" w:rsidP="00C8242E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E07D35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15930" w:rsidRPr="00E07D35" w:rsidRDefault="00D15930" w:rsidP="00D15930">
      <w:pPr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</w:rPr>
        <w:t xml:space="preserve">    </w:t>
      </w:r>
      <w:r w:rsidRPr="00E07D35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  Obsah ponuky a požadované  doklady ( </w:t>
      </w:r>
      <w:proofErr w:type="spellStart"/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scany</w:t>
      </w:r>
      <w:proofErr w:type="spellEnd"/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): </w:t>
      </w:r>
    </w:p>
    <w:p w:rsidR="00D15930" w:rsidRPr="00E07D35" w:rsidRDefault="00D15930" w:rsidP="00D15930">
      <w:pPr>
        <w:rPr>
          <w:rFonts w:ascii="Noto Sans" w:hAnsi="Noto Sans" w:cs="Noto Sans"/>
          <w:bCs/>
          <w:sz w:val="20"/>
          <w:szCs w:val="20"/>
        </w:rPr>
      </w:pPr>
    </w:p>
    <w:p w:rsidR="00D15930" w:rsidRPr="00E07D35" w:rsidRDefault="00D15930" w:rsidP="00D15930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tovary)</w:t>
      </w:r>
      <w:r w:rsidRPr="00E07D35">
        <w:rPr>
          <w:rFonts w:ascii="Noto Sans" w:hAnsi="Noto Sans" w:cs="Noto Sans"/>
          <w:sz w:val="20"/>
          <w:szCs w:val="20"/>
        </w:rPr>
        <w:t xml:space="preserve"> – </w:t>
      </w:r>
      <w:r w:rsidRPr="00E07D35">
        <w:rPr>
          <w:rFonts w:ascii="Noto Sans" w:hAnsi="Noto Sans" w:cs="Noto Sans"/>
          <w:b/>
          <w:bCs/>
          <w:sz w:val="20"/>
          <w:szCs w:val="20"/>
        </w:rPr>
        <w:t>kópia.</w:t>
      </w:r>
    </w:p>
    <w:p w:rsidR="00D15930" w:rsidRPr="00E07D35" w:rsidRDefault="00D15930" w:rsidP="00D15930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(vzor viď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E07D35">
        <w:rPr>
          <w:rFonts w:ascii="Noto Sans" w:hAnsi="Noto Sans" w:cs="Noto Sans"/>
          <w:sz w:val="20"/>
          <w:szCs w:val="20"/>
        </w:rPr>
        <w:t xml:space="preserve"> Výzvy)   </w:t>
      </w:r>
    </w:p>
    <w:p w:rsidR="00D15930" w:rsidRPr="00E07D35" w:rsidRDefault="00D15930" w:rsidP="00D15930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N</w:t>
      </w:r>
      <w:r w:rsidRPr="00E07D35">
        <w:rPr>
          <w:rFonts w:ascii="Noto Sans" w:hAnsi="Noto Sans" w:cs="Noto Sans"/>
          <w:bCs/>
          <w:sz w:val="20"/>
          <w:szCs w:val="20"/>
        </w:rPr>
        <w:t>avrhovanú</w:t>
      </w:r>
      <w:r w:rsidRPr="00E07D35">
        <w:rPr>
          <w:rFonts w:ascii="Noto Sans" w:hAnsi="Noto Sans" w:cs="Noto Sans"/>
          <w:sz w:val="20"/>
          <w:szCs w:val="20"/>
        </w:rPr>
        <w:t xml:space="preserve"> Celkovú jednotkovú cenu spolu za (MJ)  za dodanie predmetu zákazky</w:t>
      </w:r>
      <w:r w:rsidRPr="00E07D35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bCs/>
          <w:sz w:val="20"/>
          <w:szCs w:val="20"/>
        </w:rPr>
        <w:t>podľa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>P</w:t>
      </w:r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č.1</w:t>
      </w:r>
      <w:r w:rsidRPr="00E07D35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( </w:t>
      </w:r>
      <w:proofErr w:type="spellStart"/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nacenený</w:t>
      </w:r>
      <w:proofErr w:type="spellEnd"/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 Cenový  návrh za dodanie predmetu  zákazky , dátum, podpis a pečiatka. )</w:t>
      </w:r>
      <w:r w:rsidRPr="00E07D35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i/>
          <w:sz w:val="20"/>
          <w:szCs w:val="20"/>
        </w:rPr>
        <w:t xml:space="preserve"> 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E07D35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F34F17" w:rsidRPr="00E07D35">
        <w:rPr>
          <w:rFonts w:ascii="Noto Sans" w:hAnsi="Noto Sans" w:cs="Noto Sans"/>
          <w:b/>
          <w:sz w:val="20"/>
          <w:szCs w:val="20"/>
        </w:rPr>
        <w:t>1</w:t>
      </w:r>
      <w:r w:rsidRPr="00E07D35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4F0116">
        <w:rPr>
          <w:rFonts w:ascii="Noto Sans" w:hAnsi="Noto Sans" w:cs="Noto Sans"/>
          <w:b/>
          <w:sz w:val="20"/>
          <w:szCs w:val="20"/>
        </w:rPr>
        <w:t xml:space="preserve"> Celková jednotková cena spolu v Eur bez DPH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E07D35">
        <w:rPr>
          <w:rFonts w:ascii="Noto Sans" w:hAnsi="Noto Sans" w:cs="Noto Sans"/>
          <w:sz w:val="20"/>
          <w:szCs w:val="20"/>
        </w:rPr>
        <w:t>najnižšiu</w:t>
      </w:r>
      <w:r w:rsidR="005918DC">
        <w:rPr>
          <w:rFonts w:ascii="Noto Sans" w:hAnsi="Noto Sans" w:cs="Noto Sans"/>
          <w:sz w:val="20"/>
          <w:szCs w:val="20"/>
        </w:rPr>
        <w:t xml:space="preserve"> celkovú </w:t>
      </w:r>
      <w:r w:rsidR="009A6C17" w:rsidRPr="00E07D35">
        <w:rPr>
          <w:rFonts w:ascii="Noto Sans" w:hAnsi="Noto Sans" w:cs="Noto Sans"/>
          <w:sz w:val="20"/>
          <w:szCs w:val="20"/>
        </w:rPr>
        <w:t xml:space="preserve"> </w:t>
      </w:r>
      <w:r w:rsidR="00E70B3D" w:rsidRPr="00E07D35">
        <w:rPr>
          <w:rFonts w:ascii="Noto Sans" w:hAnsi="Noto Sans" w:cs="Noto Sans"/>
          <w:sz w:val="20"/>
          <w:szCs w:val="20"/>
        </w:rPr>
        <w:t xml:space="preserve">jednotkovú </w:t>
      </w:r>
      <w:r w:rsidRPr="00E07D35">
        <w:rPr>
          <w:rFonts w:ascii="Noto Sans" w:hAnsi="Noto Sans" w:cs="Noto Sans"/>
          <w:sz w:val="20"/>
          <w:szCs w:val="20"/>
        </w:rPr>
        <w:t xml:space="preserve">cenu </w:t>
      </w:r>
      <w:r w:rsidR="009A6C17" w:rsidRPr="00E07D35">
        <w:rPr>
          <w:rFonts w:ascii="Noto Sans" w:hAnsi="Noto Sans" w:cs="Noto Sans"/>
          <w:sz w:val="20"/>
          <w:szCs w:val="20"/>
        </w:rPr>
        <w:t xml:space="preserve">spolu za </w:t>
      </w:r>
      <w:r w:rsidR="00E70B3D" w:rsidRPr="00E07D35">
        <w:rPr>
          <w:rFonts w:ascii="Noto Sans" w:hAnsi="Noto Sans" w:cs="Noto Sans"/>
          <w:sz w:val="20"/>
          <w:szCs w:val="20"/>
        </w:rPr>
        <w:t xml:space="preserve">celý predmet </w:t>
      </w:r>
      <w:r w:rsidRPr="00E07D35">
        <w:rPr>
          <w:rFonts w:ascii="Noto Sans" w:hAnsi="Noto Sans" w:cs="Noto Sans"/>
          <w:sz w:val="20"/>
          <w:szCs w:val="20"/>
        </w:rPr>
        <w:t xml:space="preserve">zákazky v € bez DPH </w:t>
      </w:r>
      <w:r w:rsidR="006008E2">
        <w:rPr>
          <w:rFonts w:ascii="Noto Sans" w:hAnsi="Noto Sans" w:cs="Noto Sans"/>
          <w:sz w:val="20"/>
          <w:szCs w:val="20"/>
        </w:rPr>
        <w:t xml:space="preserve">vrátane dopravy </w:t>
      </w:r>
      <w:r w:rsidRPr="00E07D35">
        <w:rPr>
          <w:rFonts w:ascii="Noto Sans" w:hAnsi="Noto Sans" w:cs="Noto Sans"/>
          <w:sz w:val="20"/>
          <w:szCs w:val="20"/>
        </w:rPr>
        <w:t>(sumár podľa Prílohy č.1</w:t>
      </w:r>
      <w:r w:rsidR="0050720E" w:rsidRPr="00E07D35">
        <w:rPr>
          <w:rFonts w:ascii="Noto Sans" w:hAnsi="Noto Sans" w:cs="Noto Sans"/>
          <w:sz w:val="20"/>
          <w:szCs w:val="20"/>
        </w:rPr>
        <w:t>)</w:t>
      </w:r>
      <w:r w:rsidRPr="00E07D35">
        <w:rPr>
          <w:rFonts w:ascii="Noto Sans" w:hAnsi="Noto Sans" w:cs="Noto Sans"/>
          <w:sz w:val="20"/>
          <w:szCs w:val="20"/>
        </w:rPr>
        <w:t>.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3508D" w:rsidRPr="00E07D35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E07D35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E85116" w:rsidRPr="00E07D35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:rsidR="00C8242E" w:rsidRPr="00E07D35" w:rsidRDefault="00E85116" w:rsidP="00E85116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:rsidR="007A6BCF" w:rsidRPr="00E07D35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E07D35">
        <w:rPr>
          <w:rFonts w:ascii="Noto Sans" w:hAnsi="Noto Sans" w:cs="Noto Sans"/>
          <w:sz w:val="20"/>
          <w:szCs w:val="20"/>
          <w:u w:val="single"/>
        </w:rPr>
        <w:t>ť</w:t>
      </w:r>
      <w:r w:rsidRPr="00E07D35">
        <w:rPr>
          <w:rFonts w:ascii="Noto Sans" w:hAnsi="Noto Sans" w:cs="Noto Sans"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E07D35">
        <w:rPr>
          <w:rFonts w:ascii="Noto Sans" w:hAnsi="Noto Sans" w:cs="Noto Sans"/>
          <w:sz w:val="20"/>
          <w:szCs w:val="20"/>
        </w:rPr>
        <w:t xml:space="preserve">  </w:t>
      </w:r>
      <w:r w:rsidRPr="00E07D35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E07D35">
        <w:rPr>
          <w:rFonts w:ascii="Noto Sans" w:hAnsi="Noto Sans" w:cs="Noto Sans"/>
          <w:sz w:val="20"/>
          <w:szCs w:val="20"/>
        </w:rPr>
        <w:t xml:space="preserve">       </w:t>
      </w:r>
    </w:p>
    <w:p w:rsidR="00C8242E" w:rsidRDefault="00E85116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     JOSEPHINE prostredníctvom okna „KOMUNIKÁCIA“. O doručení správy bude uchádzač informovaný aj prostredníctvom notifikačného e-mailu na e-mailovú adresu zadanú pri registrácii.</w:t>
      </w:r>
    </w:p>
    <w:p w:rsidR="007A6BCF" w:rsidRPr="00E07D35" w:rsidRDefault="007A6BC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8242E" w:rsidRPr="00E07D35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B1438A" w:rsidRPr="00E07D35">
        <w:rPr>
          <w:rFonts w:ascii="Noto Sans" w:hAnsi="Noto Sans" w:cs="Noto Sans"/>
          <w:b/>
          <w:sz w:val="20"/>
          <w:szCs w:val="20"/>
        </w:rPr>
        <w:t>3</w:t>
      </w:r>
      <w:r w:rsidRPr="00E07D35">
        <w:rPr>
          <w:rFonts w:ascii="Noto Sans" w:hAnsi="Noto Sans" w:cs="Noto Sans"/>
          <w:b/>
          <w:sz w:val="20"/>
          <w:szCs w:val="20"/>
        </w:rPr>
        <w:t>. Prijatie ponuky:</w:t>
      </w:r>
    </w:p>
    <w:p w:rsidR="00D839D6" w:rsidRDefault="00750771" w:rsidP="00010995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>Úspešnému uchádzačovi bude verejný obstarávateľ vystavovať opakované objednávky v roku 20</w:t>
      </w:r>
      <w:r w:rsidR="00115E53" w:rsidRPr="00E07D35">
        <w:rPr>
          <w:rFonts w:ascii="Noto Sans" w:hAnsi="Noto Sans" w:cs="Noto Sans"/>
          <w:b/>
          <w:bCs/>
          <w:sz w:val="20"/>
          <w:szCs w:val="20"/>
        </w:rPr>
        <w:t>20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F02E5" w:rsidRPr="00E07D35">
        <w:rPr>
          <w:rFonts w:ascii="Noto Sans" w:hAnsi="Noto Sans" w:cs="Noto Sans"/>
          <w:b/>
          <w:bCs/>
          <w:sz w:val="20"/>
          <w:szCs w:val="20"/>
        </w:rPr>
        <w:t>p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odľa svojich potrieb </w:t>
      </w:r>
      <w:r w:rsidR="00F027D7" w:rsidRPr="00E07D35">
        <w:rPr>
          <w:rFonts w:ascii="Noto Sans" w:hAnsi="Noto Sans" w:cs="Noto Sans"/>
          <w:b/>
          <w:bCs/>
          <w:sz w:val="20"/>
          <w:szCs w:val="20"/>
        </w:rPr>
        <w:t>resp.</w:t>
      </w:r>
      <w:r w:rsid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do vyčerpania finančného limitu </w:t>
      </w:r>
      <w:r w:rsidR="00115E53" w:rsidRPr="00E07D35">
        <w:rPr>
          <w:rFonts w:ascii="Noto Sans" w:hAnsi="Noto Sans" w:cs="Noto Sans"/>
          <w:b/>
          <w:bCs/>
          <w:sz w:val="20"/>
          <w:szCs w:val="20"/>
        </w:rPr>
        <w:t>1</w:t>
      </w:r>
      <w:r w:rsidR="00D25757" w:rsidRPr="00E07D35">
        <w:rPr>
          <w:rFonts w:ascii="Noto Sans" w:hAnsi="Noto Sans" w:cs="Noto Sans"/>
          <w:b/>
          <w:bCs/>
          <w:sz w:val="20"/>
          <w:szCs w:val="20"/>
        </w:rPr>
        <w:t>5</w:t>
      </w:r>
      <w:r w:rsidR="00763697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000,0€ bez DPH. </w:t>
      </w:r>
    </w:p>
    <w:p w:rsidR="00E07D35" w:rsidRDefault="00E07D35" w:rsidP="00010995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E07D35" w:rsidRPr="00E07D35" w:rsidRDefault="00E07D35" w:rsidP="00010995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C8242E" w:rsidRPr="00E07D35" w:rsidRDefault="00C8242E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C8242E" w:rsidRPr="00E07D35" w:rsidRDefault="00C8242E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</w:p>
    <w:p w:rsidR="00F027D7" w:rsidRPr="00E07D35" w:rsidRDefault="00F027D7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F027D7" w:rsidRDefault="00F027D7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A6BCF" w:rsidRPr="00E07D35" w:rsidRDefault="007A6BCF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F027D7" w:rsidRPr="00E07D35" w:rsidRDefault="00F027D7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AD72F3" w:rsidRPr="00E07D35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>1</w:t>
      </w:r>
      <w:r w:rsidR="00A91255" w:rsidRPr="00E07D35">
        <w:rPr>
          <w:rFonts w:ascii="Noto Sans" w:hAnsi="Noto Sans" w:cs="Noto Sans"/>
          <w:b/>
          <w:bCs/>
          <w:sz w:val="20"/>
          <w:szCs w:val="20"/>
        </w:rPr>
        <w:t>4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C8242E" w:rsidRPr="00E07D35" w:rsidRDefault="00C8242E" w:rsidP="00AD72F3">
      <w:pPr>
        <w:jc w:val="both"/>
        <w:rPr>
          <w:rFonts w:ascii="Noto Sans" w:hAnsi="Noto Sans" w:cs="Noto Sans"/>
          <w:sz w:val="20"/>
          <w:szCs w:val="20"/>
        </w:rPr>
      </w:pPr>
    </w:p>
    <w:p w:rsidR="00AD72F3" w:rsidRPr="00E07D35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:rsidR="00AD72F3" w:rsidRPr="00E07D35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obstarávateľa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:rsidR="00AD65EF" w:rsidRPr="00E07D35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D65EF" w:rsidRPr="00E07D35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Schválil:</w:t>
      </w:r>
    </w:p>
    <w:p w:rsidR="00F027D7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</w:p>
    <w:p w:rsidR="00376ACC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="00F027D7" w:rsidRPr="00E07D35">
        <w:rPr>
          <w:rFonts w:ascii="Noto Sans" w:hAnsi="Noto Sans" w:cs="Noto Sans"/>
          <w:sz w:val="20"/>
          <w:szCs w:val="20"/>
        </w:rPr>
        <w:t xml:space="preserve">                                    </w:t>
      </w:r>
      <w:r w:rsidRPr="00E07D35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:rsidR="00115E53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="006361C9" w:rsidRPr="00E07D35">
        <w:rPr>
          <w:rFonts w:ascii="Noto Sans" w:hAnsi="Noto Sans" w:cs="Noto Sans"/>
          <w:sz w:val="20"/>
          <w:szCs w:val="20"/>
        </w:rPr>
        <w:t xml:space="preserve">                                                                   </w:t>
      </w:r>
      <w:r w:rsidR="00115E53" w:rsidRPr="00E07D35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115E53"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="00115E53" w:rsidRPr="00E07D35">
        <w:rPr>
          <w:rFonts w:ascii="Noto Sans" w:hAnsi="Noto Sans" w:cs="Noto Sans"/>
          <w:sz w:val="20"/>
          <w:szCs w:val="20"/>
        </w:rPr>
        <w:t>.</w:t>
      </w:r>
    </w:p>
    <w:p w:rsidR="00115E53" w:rsidRPr="00E07D35" w:rsidRDefault="006361C9" w:rsidP="007F2502">
      <w:pPr>
        <w:jc w:val="both"/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bCs/>
          <w:sz w:val="20"/>
          <w:szCs w:val="20"/>
        </w:rPr>
        <w:t xml:space="preserve">      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</w:t>
      </w:r>
      <w:r w:rsidR="00E07D35">
        <w:rPr>
          <w:rFonts w:ascii="Noto Sans" w:hAnsi="Noto Sans" w:cs="Noto Sans"/>
          <w:bCs/>
          <w:sz w:val="20"/>
          <w:szCs w:val="20"/>
        </w:rPr>
        <w:t xml:space="preserve">  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     </w:t>
      </w:r>
      <w:r w:rsidR="00B7319B" w:rsidRPr="00E07D35">
        <w:rPr>
          <w:rFonts w:ascii="Noto Sans" w:hAnsi="Noto Sans" w:cs="Noto Sans"/>
          <w:bCs/>
          <w:sz w:val="20"/>
          <w:szCs w:val="20"/>
        </w:rPr>
        <w:t xml:space="preserve">Ing. </w:t>
      </w:r>
      <w:r w:rsidR="00115E53" w:rsidRPr="00E07D35">
        <w:rPr>
          <w:rFonts w:ascii="Noto Sans" w:hAnsi="Noto Sans" w:cs="Noto Sans"/>
          <w:bCs/>
          <w:sz w:val="20"/>
          <w:szCs w:val="20"/>
        </w:rPr>
        <w:t>Peter Vrábel, konateľ</w:t>
      </w:r>
      <w:r w:rsidR="00B7319B" w:rsidRPr="00E07D35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</w:t>
      </w:r>
    </w:p>
    <w:p w:rsidR="00115E53" w:rsidRPr="00E07D35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115E53" w:rsidRPr="00E07D35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B7319B" w:rsidRPr="00E07D35" w:rsidRDefault="00115E53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i/>
          <w:sz w:val="20"/>
          <w:szCs w:val="20"/>
          <w:u w:val="single"/>
        </w:rPr>
        <w:t xml:space="preserve"> </w:t>
      </w:r>
      <w:r w:rsidR="00B7319B" w:rsidRPr="00E07D35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Príloha č.1 – </w:t>
      </w:r>
      <w:r w:rsidR="0008409A" w:rsidRPr="00E07D35">
        <w:rPr>
          <w:rFonts w:ascii="Noto Sans" w:hAnsi="Noto Sans" w:cs="Noto Sans"/>
          <w:sz w:val="20"/>
          <w:szCs w:val="20"/>
        </w:rPr>
        <w:t xml:space="preserve">Špecifikácia </w:t>
      </w:r>
      <w:r w:rsidR="00C8242E" w:rsidRPr="00E07D35">
        <w:rPr>
          <w:rFonts w:ascii="Noto Sans" w:hAnsi="Noto Sans" w:cs="Noto Sans"/>
          <w:sz w:val="20"/>
          <w:szCs w:val="20"/>
        </w:rPr>
        <w:t xml:space="preserve">OOPP </w:t>
      </w:r>
      <w:r w:rsidR="00643F36" w:rsidRPr="00E07D35">
        <w:rPr>
          <w:rFonts w:ascii="Noto Sans" w:hAnsi="Noto Sans" w:cs="Noto Sans"/>
          <w:sz w:val="20"/>
          <w:szCs w:val="20"/>
        </w:rPr>
        <w:t xml:space="preserve"> </w:t>
      </w:r>
      <w:r w:rsidR="00763697" w:rsidRPr="00E07D35">
        <w:rPr>
          <w:rFonts w:ascii="Noto Sans" w:hAnsi="Noto Sans" w:cs="Noto Sans"/>
          <w:sz w:val="20"/>
          <w:szCs w:val="20"/>
        </w:rPr>
        <w:t>materiálu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FA66AE" w:rsidRPr="00E07D35" w:rsidRDefault="00FA66AE" w:rsidP="00FA66AE">
      <w:pPr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Príloha č.2 – Čestné vyhlásenie </w:t>
      </w:r>
      <w:r w:rsidR="006361C9" w:rsidRPr="00E07D35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E07D35">
        <w:rPr>
          <w:rFonts w:ascii="Noto Sans" w:hAnsi="Noto Sans" w:cs="Noto Sans"/>
          <w:sz w:val="20"/>
          <w:szCs w:val="20"/>
        </w:rPr>
        <w:t xml:space="preserve"> </w:t>
      </w:r>
      <w:r w:rsidR="006361C9" w:rsidRPr="00E07D35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:rsidR="00052FEF" w:rsidRPr="00E07D35" w:rsidRDefault="00052FEF" w:rsidP="00D04B31">
      <w:pPr>
        <w:rPr>
          <w:rFonts w:ascii="Noto Sans" w:hAnsi="Noto Sans" w:cs="Noto Sans"/>
          <w:sz w:val="20"/>
          <w:szCs w:val="20"/>
        </w:rPr>
      </w:pPr>
    </w:p>
    <w:sectPr w:rsidR="00052FEF" w:rsidRPr="00E07D35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D69" w:rsidRDefault="00135D69">
      <w:r>
        <w:separator/>
      </w:r>
    </w:p>
  </w:endnote>
  <w:endnote w:type="continuationSeparator" w:id="0">
    <w:p w:rsidR="00135D69" w:rsidRDefault="0013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5EC">
      <w:rPr>
        <w:rStyle w:val="slostrany"/>
        <w:noProof/>
      </w:rPr>
      <w:t>3</w: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D69" w:rsidRDefault="00135D69">
      <w:r>
        <w:separator/>
      </w:r>
    </w:p>
  </w:footnote>
  <w:footnote w:type="continuationSeparator" w:id="0">
    <w:p w:rsidR="00135D69" w:rsidRDefault="0013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32F46DE9"/>
    <w:multiLevelType w:val="hybridMultilevel"/>
    <w:tmpl w:val="94E825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072D"/>
    <w:multiLevelType w:val="hybridMultilevel"/>
    <w:tmpl w:val="6D8C1F7C"/>
    <w:lvl w:ilvl="0" w:tplc="E8D23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659B"/>
    <w:rsid w:val="00052FEF"/>
    <w:rsid w:val="00053683"/>
    <w:rsid w:val="00056A7A"/>
    <w:rsid w:val="00057CC7"/>
    <w:rsid w:val="00060313"/>
    <w:rsid w:val="000643BF"/>
    <w:rsid w:val="00075352"/>
    <w:rsid w:val="000814E0"/>
    <w:rsid w:val="000840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5DFE"/>
    <w:rsid w:val="001067FA"/>
    <w:rsid w:val="001076F4"/>
    <w:rsid w:val="00110E03"/>
    <w:rsid w:val="00111458"/>
    <w:rsid w:val="00113D08"/>
    <w:rsid w:val="00115E53"/>
    <w:rsid w:val="001164DE"/>
    <w:rsid w:val="00116C82"/>
    <w:rsid w:val="00124F31"/>
    <w:rsid w:val="0012563A"/>
    <w:rsid w:val="00132BBD"/>
    <w:rsid w:val="00132F81"/>
    <w:rsid w:val="00135D69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05EC"/>
    <w:rsid w:val="00162A9C"/>
    <w:rsid w:val="0016321F"/>
    <w:rsid w:val="00165050"/>
    <w:rsid w:val="0017689A"/>
    <w:rsid w:val="00180A2A"/>
    <w:rsid w:val="00186EE0"/>
    <w:rsid w:val="001921C2"/>
    <w:rsid w:val="00192E45"/>
    <w:rsid w:val="00193319"/>
    <w:rsid w:val="001944B9"/>
    <w:rsid w:val="0019492A"/>
    <w:rsid w:val="0019747D"/>
    <w:rsid w:val="001A1692"/>
    <w:rsid w:val="001A2C17"/>
    <w:rsid w:val="001A765E"/>
    <w:rsid w:val="001B01D6"/>
    <w:rsid w:val="001B4152"/>
    <w:rsid w:val="001B4A11"/>
    <w:rsid w:val="001B65BE"/>
    <w:rsid w:val="001C261C"/>
    <w:rsid w:val="001C5BB5"/>
    <w:rsid w:val="001C6A4C"/>
    <w:rsid w:val="001D35FB"/>
    <w:rsid w:val="001D38D7"/>
    <w:rsid w:val="001D47B2"/>
    <w:rsid w:val="0020169D"/>
    <w:rsid w:val="00204A76"/>
    <w:rsid w:val="00212280"/>
    <w:rsid w:val="0021362D"/>
    <w:rsid w:val="00217009"/>
    <w:rsid w:val="0022178F"/>
    <w:rsid w:val="002262CA"/>
    <w:rsid w:val="002351C3"/>
    <w:rsid w:val="0024077C"/>
    <w:rsid w:val="00242B24"/>
    <w:rsid w:val="00251635"/>
    <w:rsid w:val="002520C4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FDF"/>
    <w:rsid w:val="002947BA"/>
    <w:rsid w:val="002A24A4"/>
    <w:rsid w:val="002A69C2"/>
    <w:rsid w:val="002B1D14"/>
    <w:rsid w:val="002C3BA5"/>
    <w:rsid w:val="002C436C"/>
    <w:rsid w:val="002C7763"/>
    <w:rsid w:val="002D02EF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587A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765F"/>
    <w:rsid w:val="003D185F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0671"/>
    <w:rsid w:val="00421E24"/>
    <w:rsid w:val="00422C72"/>
    <w:rsid w:val="00426B2D"/>
    <w:rsid w:val="004272D7"/>
    <w:rsid w:val="00430884"/>
    <w:rsid w:val="00432611"/>
    <w:rsid w:val="00446DF5"/>
    <w:rsid w:val="0044727D"/>
    <w:rsid w:val="004548A8"/>
    <w:rsid w:val="0046150D"/>
    <w:rsid w:val="00463864"/>
    <w:rsid w:val="004745D5"/>
    <w:rsid w:val="00481411"/>
    <w:rsid w:val="00481EEF"/>
    <w:rsid w:val="004821BF"/>
    <w:rsid w:val="00482DA9"/>
    <w:rsid w:val="0048357C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D040E"/>
    <w:rsid w:val="004D56A0"/>
    <w:rsid w:val="004E281C"/>
    <w:rsid w:val="004E4CFF"/>
    <w:rsid w:val="004E7C3F"/>
    <w:rsid w:val="004F0116"/>
    <w:rsid w:val="004F5F38"/>
    <w:rsid w:val="0050720E"/>
    <w:rsid w:val="005116AC"/>
    <w:rsid w:val="00511D85"/>
    <w:rsid w:val="00522B06"/>
    <w:rsid w:val="00523063"/>
    <w:rsid w:val="00525BEA"/>
    <w:rsid w:val="005272E2"/>
    <w:rsid w:val="0053319F"/>
    <w:rsid w:val="00535031"/>
    <w:rsid w:val="0055359F"/>
    <w:rsid w:val="00553E5E"/>
    <w:rsid w:val="00565171"/>
    <w:rsid w:val="0057074E"/>
    <w:rsid w:val="005772D7"/>
    <w:rsid w:val="00583234"/>
    <w:rsid w:val="00583503"/>
    <w:rsid w:val="005854FF"/>
    <w:rsid w:val="005918DC"/>
    <w:rsid w:val="00597F79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1C5"/>
    <w:rsid w:val="005D268F"/>
    <w:rsid w:val="005D4296"/>
    <w:rsid w:val="005D4986"/>
    <w:rsid w:val="005E042A"/>
    <w:rsid w:val="005E4473"/>
    <w:rsid w:val="005F348B"/>
    <w:rsid w:val="00600542"/>
    <w:rsid w:val="006008E2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43F36"/>
    <w:rsid w:val="0065062A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26CD"/>
    <w:rsid w:val="00724989"/>
    <w:rsid w:val="0073161A"/>
    <w:rsid w:val="0073249C"/>
    <w:rsid w:val="00735B5E"/>
    <w:rsid w:val="0073602F"/>
    <w:rsid w:val="00741534"/>
    <w:rsid w:val="00743CAA"/>
    <w:rsid w:val="00750771"/>
    <w:rsid w:val="00751D83"/>
    <w:rsid w:val="00755279"/>
    <w:rsid w:val="00757B26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A6BCF"/>
    <w:rsid w:val="007B24A8"/>
    <w:rsid w:val="007B7313"/>
    <w:rsid w:val="007C0657"/>
    <w:rsid w:val="007C2F43"/>
    <w:rsid w:val="007C7998"/>
    <w:rsid w:val="007D0027"/>
    <w:rsid w:val="007D0297"/>
    <w:rsid w:val="007D4DDB"/>
    <w:rsid w:val="007D7423"/>
    <w:rsid w:val="007F10B0"/>
    <w:rsid w:val="007F2502"/>
    <w:rsid w:val="00800160"/>
    <w:rsid w:val="00807198"/>
    <w:rsid w:val="0080775A"/>
    <w:rsid w:val="0081095D"/>
    <w:rsid w:val="00810A4F"/>
    <w:rsid w:val="00811456"/>
    <w:rsid w:val="00813582"/>
    <w:rsid w:val="008202AA"/>
    <w:rsid w:val="0082345D"/>
    <w:rsid w:val="00823569"/>
    <w:rsid w:val="00830E30"/>
    <w:rsid w:val="008401B1"/>
    <w:rsid w:val="00843A6E"/>
    <w:rsid w:val="00843C84"/>
    <w:rsid w:val="0084469D"/>
    <w:rsid w:val="0084648B"/>
    <w:rsid w:val="0085046C"/>
    <w:rsid w:val="008558D3"/>
    <w:rsid w:val="008570C5"/>
    <w:rsid w:val="0086178F"/>
    <w:rsid w:val="00864CE4"/>
    <w:rsid w:val="00876256"/>
    <w:rsid w:val="00884246"/>
    <w:rsid w:val="00886F75"/>
    <w:rsid w:val="00887991"/>
    <w:rsid w:val="00887A63"/>
    <w:rsid w:val="008940FF"/>
    <w:rsid w:val="008A171F"/>
    <w:rsid w:val="008A3394"/>
    <w:rsid w:val="008A3A35"/>
    <w:rsid w:val="008B1E58"/>
    <w:rsid w:val="008B29AD"/>
    <w:rsid w:val="008B7FEF"/>
    <w:rsid w:val="008C03EF"/>
    <w:rsid w:val="008C41B4"/>
    <w:rsid w:val="008C5987"/>
    <w:rsid w:val="008D50AA"/>
    <w:rsid w:val="008D5A2B"/>
    <w:rsid w:val="008E1760"/>
    <w:rsid w:val="008E6CF1"/>
    <w:rsid w:val="008F125D"/>
    <w:rsid w:val="009013F7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3600"/>
    <w:rsid w:val="00943770"/>
    <w:rsid w:val="00944D35"/>
    <w:rsid w:val="0094693F"/>
    <w:rsid w:val="00951263"/>
    <w:rsid w:val="00951B75"/>
    <w:rsid w:val="00951C6D"/>
    <w:rsid w:val="00953377"/>
    <w:rsid w:val="00967756"/>
    <w:rsid w:val="00971D01"/>
    <w:rsid w:val="009776BF"/>
    <w:rsid w:val="00982BB6"/>
    <w:rsid w:val="00991D6A"/>
    <w:rsid w:val="00992AFB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1E03"/>
    <w:rsid w:val="009D25C4"/>
    <w:rsid w:val="009D4788"/>
    <w:rsid w:val="009D4D5C"/>
    <w:rsid w:val="009D7C4A"/>
    <w:rsid w:val="009E17F0"/>
    <w:rsid w:val="009E59C7"/>
    <w:rsid w:val="009F0689"/>
    <w:rsid w:val="009F57FD"/>
    <w:rsid w:val="00A158ED"/>
    <w:rsid w:val="00A175C7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2DFA"/>
    <w:rsid w:val="00A84B45"/>
    <w:rsid w:val="00A91255"/>
    <w:rsid w:val="00A9381F"/>
    <w:rsid w:val="00AA1058"/>
    <w:rsid w:val="00AA18C9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0A69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32FC2"/>
    <w:rsid w:val="00B37C41"/>
    <w:rsid w:val="00B41150"/>
    <w:rsid w:val="00B56FCA"/>
    <w:rsid w:val="00B64FA1"/>
    <w:rsid w:val="00B7319B"/>
    <w:rsid w:val="00B7515B"/>
    <w:rsid w:val="00B77EB9"/>
    <w:rsid w:val="00B77EE1"/>
    <w:rsid w:val="00B801F3"/>
    <w:rsid w:val="00B91BE9"/>
    <w:rsid w:val="00B96DB9"/>
    <w:rsid w:val="00BA168E"/>
    <w:rsid w:val="00BA24DB"/>
    <w:rsid w:val="00BA31FF"/>
    <w:rsid w:val="00BB1170"/>
    <w:rsid w:val="00BB32A4"/>
    <w:rsid w:val="00BB342C"/>
    <w:rsid w:val="00BC13A2"/>
    <w:rsid w:val="00BC7C0B"/>
    <w:rsid w:val="00BD085F"/>
    <w:rsid w:val="00BD5E10"/>
    <w:rsid w:val="00BE43D8"/>
    <w:rsid w:val="00BE4F5E"/>
    <w:rsid w:val="00BE62B9"/>
    <w:rsid w:val="00BE6418"/>
    <w:rsid w:val="00BF7325"/>
    <w:rsid w:val="00C00DE2"/>
    <w:rsid w:val="00C05536"/>
    <w:rsid w:val="00C071AE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2FE"/>
    <w:rsid w:val="00C25FB2"/>
    <w:rsid w:val="00C3103A"/>
    <w:rsid w:val="00C3508D"/>
    <w:rsid w:val="00C35CFD"/>
    <w:rsid w:val="00C364B1"/>
    <w:rsid w:val="00C43B71"/>
    <w:rsid w:val="00C47DD8"/>
    <w:rsid w:val="00C55BBB"/>
    <w:rsid w:val="00C61377"/>
    <w:rsid w:val="00C61752"/>
    <w:rsid w:val="00C623BF"/>
    <w:rsid w:val="00C74DA7"/>
    <w:rsid w:val="00C75263"/>
    <w:rsid w:val="00C777DA"/>
    <w:rsid w:val="00C80AF3"/>
    <w:rsid w:val="00C822C1"/>
    <w:rsid w:val="00C8242E"/>
    <w:rsid w:val="00C90B1F"/>
    <w:rsid w:val="00C916D5"/>
    <w:rsid w:val="00C923E5"/>
    <w:rsid w:val="00C97A90"/>
    <w:rsid w:val="00CA33A2"/>
    <w:rsid w:val="00CB724F"/>
    <w:rsid w:val="00CD088A"/>
    <w:rsid w:val="00CE1606"/>
    <w:rsid w:val="00CE5CB1"/>
    <w:rsid w:val="00CE65D5"/>
    <w:rsid w:val="00CF1E28"/>
    <w:rsid w:val="00CF22FA"/>
    <w:rsid w:val="00CF3FA6"/>
    <w:rsid w:val="00CF4CAE"/>
    <w:rsid w:val="00CF7FFA"/>
    <w:rsid w:val="00D0453E"/>
    <w:rsid w:val="00D04B31"/>
    <w:rsid w:val="00D15930"/>
    <w:rsid w:val="00D20D99"/>
    <w:rsid w:val="00D23AA0"/>
    <w:rsid w:val="00D25757"/>
    <w:rsid w:val="00D25C97"/>
    <w:rsid w:val="00D32123"/>
    <w:rsid w:val="00D341C2"/>
    <w:rsid w:val="00D372C5"/>
    <w:rsid w:val="00D3745C"/>
    <w:rsid w:val="00D40C3E"/>
    <w:rsid w:val="00D41EBC"/>
    <w:rsid w:val="00D42370"/>
    <w:rsid w:val="00D42CAF"/>
    <w:rsid w:val="00D5055A"/>
    <w:rsid w:val="00D5085E"/>
    <w:rsid w:val="00D5509F"/>
    <w:rsid w:val="00D65632"/>
    <w:rsid w:val="00D67885"/>
    <w:rsid w:val="00D7241D"/>
    <w:rsid w:val="00D768E7"/>
    <w:rsid w:val="00D773BA"/>
    <w:rsid w:val="00D8135D"/>
    <w:rsid w:val="00D81A7C"/>
    <w:rsid w:val="00D83427"/>
    <w:rsid w:val="00D839D6"/>
    <w:rsid w:val="00D86C7C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D1AD4"/>
    <w:rsid w:val="00DD6BE2"/>
    <w:rsid w:val="00DE3F5A"/>
    <w:rsid w:val="00E02143"/>
    <w:rsid w:val="00E052ED"/>
    <w:rsid w:val="00E053F4"/>
    <w:rsid w:val="00E057CD"/>
    <w:rsid w:val="00E05C7D"/>
    <w:rsid w:val="00E07D35"/>
    <w:rsid w:val="00E13866"/>
    <w:rsid w:val="00E27026"/>
    <w:rsid w:val="00E312A8"/>
    <w:rsid w:val="00E34EEA"/>
    <w:rsid w:val="00E36319"/>
    <w:rsid w:val="00E368F1"/>
    <w:rsid w:val="00E44FE6"/>
    <w:rsid w:val="00E52F02"/>
    <w:rsid w:val="00E70B3D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A1ACB"/>
    <w:rsid w:val="00EA2080"/>
    <w:rsid w:val="00EA7675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27D7"/>
    <w:rsid w:val="00F0370B"/>
    <w:rsid w:val="00F04165"/>
    <w:rsid w:val="00F1161F"/>
    <w:rsid w:val="00F16E24"/>
    <w:rsid w:val="00F21C4A"/>
    <w:rsid w:val="00F30D85"/>
    <w:rsid w:val="00F317D1"/>
    <w:rsid w:val="00F321CF"/>
    <w:rsid w:val="00F34F17"/>
    <w:rsid w:val="00F41C24"/>
    <w:rsid w:val="00F4660F"/>
    <w:rsid w:val="00F52DF4"/>
    <w:rsid w:val="00F53E9E"/>
    <w:rsid w:val="00F5686F"/>
    <w:rsid w:val="00F568D5"/>
    <w:rsid w:val="00F65B3E"/>
    <w:rsid w:val="00F75221"/>
    <w:rsid w:val="00F82B90"/>
    <w:rsid w:val="00F82D01"/>
    <w:rsid w:val="00F86E0A"/>
    <w:rsid w:val="00F9250E"/>
    <w:rsid w:val="00FA355D"/>
    <w:rsid w:val="00FA43A6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2D21C"/>
  <w15:docId w15:val="{0BA8A0F0-05E4-4F58-AFF7-35E26FC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CF2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7164-946F-48AE-B2AC-7F695E03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25</cp:revision>
  <cp:lastPrinted>2020-02-05T08:04:00Z</cp:lastPrinted>
  <dcterms:created xsi:type="dcterms:W3CDTF">2020-02-05T05:55:00Z</dcterms:created>
  <dcterms:modified xsi:type="dcterms:W3CDTF">2020-02-24T06:24:00Z</dcterms:modified>
</cp:coreProperties>
</file>