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83A0" w14:textId="77777777" w:rsidR="00257610" w:rsidRPr="00564545" w:rsidRDefault="00257610" w:rsidP="00564545">
      <w:pPr>
        <w:jc w:val="right"/>
        <w:rPr>
          <w:rFonts w:ascii="Times New Roman" w:hAnsi="Times New Roman" w:cs="Times New Roman"/>
          <w:sz w:val="24"/>
          <w:szCs w:val="24"/>
        </w:rPr>
      </w:pPr>
      <w:r w:rsidRPr="00564545">
        <w:rPr>
          <w:rFonts w:ascii="Times New Roman" w:hAnsi="Times New Roman" w:cs="Times New Roman"/>
          <w:sz w:val="24"/>
          <w:szCs w:val="24"/>
        </w:rPr>
        <w:t>Príloha č. 1</w:t>
      </w:r>
      <w:r w:rsidR="00564545" w:rsidRPr="00564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43BE8" w14:textId="77777777" w:rsidR="00257610" w:rsidRPr="00564545" w:rsidRDefault="00257610" w:rsidP="00257610">
      <w:pPr>
        <w:rPr>
          <w:rFonts w:ascii="Times New Roman" w:hAnsi="Times New Roman" w:cs="Times New Roman"/>
          <w:sz w:val="24"/>
          <w:szCs w:val="24"/>
        </w:rPr>
      </w:pPr>
    </w:p>
    <w:p w14:paraId="258F4710" w14:textId="687EB994" w:rsidR="00547FBE" w:rsidRPr="00543DCA" w:rsidRDefault="00547FBE" w:rsidP="00547FBE">
      <w:pPr>
        <w:pStyle w:val="MZVnormal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b/>
          <w:bCs/>
          <w:sz w:val="24"/>
          <w:u w:val="single"/>
        </w:rPr>
      </w:pPr>
      <w:r w:rsidRPr="00543DCA">
        <w:rPr>
          <w:rFonts w:ascii="Times New Roman" w:hAnsi="Times New Roman"/>
          <w:b/>
          <w:bCs/>
          <w:sz w:val="24"/>
          <w:u w:val="single"/>
        </w:rPr>
        <w:t>Priechod pre chodcov</w:t>
      </w:r>
      <w:r w:rsidR="008455A3">
        <w:rPr>
          <w:rFonts w:ascii="Times New Roman" w:hAnsi="Times New Roman"/>
          <w:b/>
          <w:bCs/>
          <w:sz w:val="24"/>
          <w:u w:val="single"/>
        </w:rPr>
        <w:t xml:space="preserve"> – didaktická pomôcka</w:t>
      </w:r>
    </w:p>
    <w:p w14:paraId="6E419960" w14:textId="2A2E49E4" w:rsidR="00547FBE" w:rsidRPr="00543DCA" w:rsidRDefault="008455A3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sz w:val="24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Popis:</w:t>
      </w:r>
      <w:r w:rsidR="00547FBE" w:rsidRPr="00543DCA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8455A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Podložka z </w:t>
      </w:r>
      <w:proofErr w:type="spellStart"/>
      <w:r w:rsidRPr="008455A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vinylu</w:t>
      </w:r>
      <w:proofErr w:type="spellEnd"/>
      <w:r w:rsidRPr="008455A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, banneru alebo iného nekĺzavého materiálu, </w:t>
      </w:r>
      <w:r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na ktorej je zobrazený </w:t>
      </w:r>
      <w:r w:rsidR="00547FBE" w:rsidRPr="00543DCA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priechod pre chodcov </w:t>
      </w:r>
      <w:r w:rsidR="00355A5F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- </w:t>
      </w:r>
      <w:r w:rsidR="00547FBE" w:rsidRPr="00543DCA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biele pruhy na čiernom 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alebo šedom podklade. </w:t>
      </w:r>
    </w:p>
    <w:p w14:paraId="562E905E" w14:textId="7F62DC19" w:rsidR="00547FBE" w:rsidRPr="00355A5F" w:rsidRDefault="00355A5F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color w:val="333333"/>
          <w:sz w:val="24"/>
          <w:u w:val="single"/>
          <w:shd w:val="clear" w:color="auto" w:fill="FFFFFF"/>
        </w:rPr>
      </w:pPr>
      <w:r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</w:t>
      </w:r>
      <w:r w:rsidR="00A56D29"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arametre p</w:t>
      </w:r>
      <w:r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odložk</w:t>
      </w:r>
      <w:r w:rsidR="00A56D29"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y</w:t>
      </w:r>
      <w:r w:rsidRP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:</w:t>
      </w:r>
      <w:r w:rsidR="00547FBE" w:rsidRPr="00355A5F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dĺžka 110cm  (tolerancia na dĺžku + 50 cm), šírka 50 cm (tolerancia na šírku +  70cm).</w:t>
      </w:r>
    </w:p>
    <w:p w14:paraId="700F4AAA" w14:textId="7CECBFF0" w:rsidR="00547FBE" w:rsidRDefault="00547FBE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</w:pPr>
    </w:p>
    <w:p w14:paraId="218C5DB0" w14:textId="77777777" w:rsidR="00547FBE" w:rsidRPr="00547FBE" w:rsidRDefault="00547FBE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</w:pPr>
    </w:p>
    <w:p w14:paraId="7FA4E326" w14:textId="23D6A7B6" w:rsidR="00547FBE" w:rsidRDefault="00547FBE" w:rsidP="00547FBE">
      <w:pPr>
        <w:pStyle w:val="MZVnormal"/>
        <w:numPr>
          <w:ilvl w:val="0"/>
          <w:numId w:val="3"/>
        </w:numPr>
        <w:spacing w:line="276" w:lineRule="auto"/>
        <w:ind w:left="284" w:hanging="284"/>
        <w:jc w:val="both"/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</w:pPr>
      <w:r w:rsidRPr="009F1E2C"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>Semafor</w:t>
      </w:r>
      <w:r>
        <w:rPr>
          <w:rStyle w:val="Vrazn"/>
          <w:rFonts w:ascii="Times New Roman" w:hAnsi="Times New Roman"/>
          <w:color w:val="333333"/>
          <w:sz w:val="24"/>
          <w:u w:val="single"/>
          <w:shd w:val="clear" w:color="auto" w:fill="FFFFFF"/>
        </w:rPr>
        <w:t xml:space="preserve"> s tyčou na jeho upevnenie a stojanom </w:t>
      </w:r>
    </w:p>
    <w:p w14:paraId="05F55EA3" w14:textId="121C66F3" w:rsidR="00547FBE" w:rsidRDefault="00355A5F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Popis:</w:t>
      </w:r>
      <w:r w:rsidR="00547FBE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547FBE" w:rsidRPr="001E0307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B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ezdrôtový 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plastový 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semafor s automatickým ovládaním prepínania svetiel,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ktorý je 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napájan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ý na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4 ks 1,5V tužkové batérie so zabudovanou ochranou batérií. Semafor sa upína alebo je </w:t>
      </w:r>
      <w:proofErr w:type="spellStart"/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namonotvaný</w:t>
      </w:r>
      <w:proofErr w:type="spellEnd"/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na kovovú tyč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potiahnutú plastom.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Tyč sa zasadzuje alebo je osadená do stojanu</w:t>
      </w:r>
      <w:r w:rsidR="004818B3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z PVC materiálu s pevnou, napr. drevenou podstavou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. </w:t>
      </w:r>
    </w:p>
    <w:p w14:paraId="6EE417D1" w14:textId="359FBC0E" w:rsidR="00547FBE" w:rsidRPr="00793061" w:rsidRDefault="004818B3" w:rsidP="00547FBE">
      <w:pPr>
        <w:pStyle w:val="MZVnormal"/>
        <w:spacing w:line="276" w:lineRule="auto"/>
        <w:jc w:val="both"/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</w:pP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Parametre</w:t>
      </w:r>
      <w:r w:rsidR="00A56D29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semafóru</w:t>
      </w:r>
      <w:r w:rsidR="00547FBE" w:rsidRPr="00543DCA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>:</w:t>
      </w:r>
      <w:r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dĺžka tyče 100 cm (tolerancia + 10 cm)</w:t>
      </w:r>
      <w:r w:rsidR="00547FBE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, 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výška</w:t>
      </w:r>
      <w:r w:rsidR="00547FBE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stojanu</w:t>
      </w:r>
      <w:r w:rsidR="00547FBE" w:rsidRPr="00793061"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 xml:space="preserve"> 45 cm (tolerancia + 5 cm)</w:t>
      </w:r>
      <w:r>
        <w:rPr>
          <w:rStyle w:val="Vrazn"/>
          <w:rFonts w:ascii="Times New Roman" w:hAnsi="Times New Roman"/>
          <w:b w:val="0"/>
          <w:bCs w:val="0"/>
          <w:color w:val="333333"/>
          <w:sz w:val="24"/>
          <w:shd w:val="clear" w:color="auto" w:fill="FFFFFF"/>
        </w:rPr>
        <w:t>.</w:t>
      </w:r>
      <w:r w:rsidR="00547FBE">
        <w:rPr>
          <w:rStyle w:val="Vrazn"/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</w:p>
    <w:p w14:paraId="049DB8BB" w14:textId="77777777" w:rsidR="00257610" w:rsidRDefault="00257610" w:rsidP="00257610"/>
    <w:sectPr w:rsidR="0025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A2D"/>
    <w:multiLevelType w:val="hybridMultilevel"/>
    <w:tmpl w:val="6F1AB74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E58"/>
    <w:multiLevelType w:val="hybridMultilevel"/>
    <w:tmpl w:val="2D98AF3A"/>
    <w:lvl w:ilvl="0" w:tplc="FB60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9347D"/>
    <w:multiLevelType w:val="hybridMultilevel"/>
    <w:tmpl w:val="F6969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10"/>
    <w:rsid w:val="00257610"/>
    <w:rsid w:val="00355A5F"/>
    <w:rsid w:val="0038314D"/>
    <w:rsid w:val="003976A0"/>
    <w:rsid w:val="00407505"/>
    <w:rsid w:val="004818B3"/>
    <w:rsid w:val="00547FBE"/>
    <w:rsid w:val="00564545"/>
    <w:rsid w:val="008455A3"/>
    <w:rsid w:val="00882FC0"/>
    <w:rsid w:val="008A09A8"/>
    <w:rsid w:val="00A56D29"/>
    <w:rsid w:val="00C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4749"/>
  <w15:chartTrackingRefBased/>
  <w15:docId w15:val="{486D6AFF-87BD-435E-8F2F-AD2E0E6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610"/>
    <w:pPr>
      <w:ind w:left="720"/>
      <w:contextualSpacing/>
    </w:pPr>
  </w:style>
  <w:style w:type="paragraph" w:customStyle="1" w:styleId="MZVnormal">
    <w:name w:val="MZV normal"/>
    <w:basedOn w:val="Normlny"/>
    <w:rsid w:val="00547FBE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Vrazn">
    <w:name w:val="Strong"/>
    <w:uiPriority w:val="22"/>
    <w:qFormat/>
    <w:rsid w:val="0054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Gabriela Drugová</cp:lastModifiedBy>
  <cp:revision>4</cp:revision>
  <dcterms:created xsi:type="dcterms:W3CDTF">2025-05-05T13:35:00Z</dcterms:created>
  <dcterms:modified xsi:type="dcterms:W3CDTF">2025-05-05T13:38:00Z</dcterms:modified>
</cp:coreProperties>
</file>