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48C86A9D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„Náboje“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9A9475" w14:textId="1B7A31B0" w:rsidR="00E42C7F" w:rsidRPr="00A22515" w:rsidRDefault="00E42C7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Platí samostatne pre časť 1 a</w:t>
      </w:r>
      <w:r w:rsidR="001562CE">
        <w:rPr>
          <w:rFonts w:ascii="Arial Narrow" w:hAnsi="Arial Narrow" w:cs="Arial"/>
          <w:b/>
          <w:bCs/>
          <w:sz w:val="22"/>
          <w:szCs w:val="22"/>
        </w:rPr>
        <w:t xml:space="preserve">ž </w:t>
      </w:r>
      <w:r>
        <w:rPr>
          <w:rFonts w:ascii="Arial Narrow" w:hAnsi="Arial Narrow" w:cs="Arial"/>
          <w:b/>
          <w:bCs/>
          <w:sz w:val="22"/>
          <w:szCs w:val="22"/>
        </w:rPr>
        <w:t xml:space="preserve"> časť </w:t>
      </w:r>
      <w:r w:rsidR="00D40263">
        <w:rPr>
          <w:rFonts w:ascii="Arial Narrow" w:hAnsi="Arial Narrow" w:cs="Arial"/>
          <w:b/>
          <w:bCs/>
          <w:sz w:val="22"/>
          <w:szCs w:val="22"/>
        </w:rPr>
        <w:t>6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ED2A84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D4026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</w:t>
      </w:r>
      <w:r w:rsidR="00D40263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ACBCD6C" w14:textId="2FD762C2" w:rsidR="00D40263" w:rsidRDefault="006B34AB" w:rsidP="00D402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</w:t>
      </w:r>
      <w:r w:rsidR="00D40263">
        <w:rPr>
          <w:rFonts w:ascii="Arial Narrow" w:hAnsi="Arial Narrow"/>
          <w:sz w:val="22"/>
          <w:szCs w:val="22"/>
        </w:rPr>
        <w:t>2</w:t>
      </w:r>
      <w:r w:rsidRPr="007341A7">
        <w:rPr>
          <w:rFonts w:ascii="Arial Narrow" w:hAnsi="Arial Narrow"/>
          <w:sz w:val="22"/>
          <w:szCs w:val="22"/>
        </w:rPr>
        <w:t xml:space="preserve">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D40263">
        <w:rPr>
          <w:rFonts w:ascii="Arial Narrow" w:hAnsi="Arial Narrow"/>
          <w:sz w:val="22"/>
          <w:szCs w:val="22"/>
        </w:rPr>
        <w:t xml:space="preserve"> </w:t>
      </w:r>
      <w:r w:rsidR="00D40263">
        <w:rPr>
          <w:rFonts w:ascii="Arial Narrow" w:hAnsi="Arial Narrow"/>
          <w:bCs/>
          <w:sz w:val="22"/>
          <w:szCs w:val="22"/>
        </w:rPr>
        <w:t>Celková cena v</w:t>
      </w:r>
      <w:r w:rsidR="00D40263">
        <w:rPr>
          <w:rFonts w:ascii="Arial Narrow" w:hAnsi="Arial Narrow"/>
          <w:sz w:val="22"/>
          <w:szCs w:val="22"/>
        </w:rPr>
        <w:t> elektronickom ponukovom formulári v systéme JOSEPHINE</w:t>
      </w:r>
      <w:r w:rsidR="00D40263">
        <w:rPr>
          <w:rFonts w:ascii="Arial Narrow" w:hAnsi="Arial Narrow"/>
          <w:bCs/>
          <w:sz w:val="22"/>
          <w:szCs w:val="22"/>
        </w:rPr>
        <w:t xml:space="preserve"> </w:t>
      </w:r>
      <w:r w:rsidR="00D40263">
        <w:rPr>
          <w:rFonts w:ascii="Arial Narrow" w:hAnsi="Arial Narrow"/>
          <w:bCs/>
          <w:sz w:val="22"/>
          <w:szCs w:val="22"/>
        </w:rPr>
        <w:t xml:space="preserve"> </w:t>
      </w:r>
      <w:r w:rsidR="00D40263">
        <w:rPr>
          <w:rFonts w:ascii="Arial Narrow" w:hAnsi="Arial Narrow"/>
          <w:bCs/>
          <w:sz w:val="22"/>
          <w:szCs w:val="22"/>
        </w:rPr>
        <w:t>a Celková cena v Štruktúrovanom rozpočte</w:t>
      </w:r>
      <w:r w:rsidR="00D40263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40263">
        <w:rPr>
          <w:rFonts w:ascii="Arial Narrow" w:hAnsi="Arial Narrow"/>
          <w:bCs/>
          <w:sz w:val="22"/>
          <w:szCs w:val="22"/>
        </w:rPr>
        <w:t xml:space="preserve"> v </w:t>
      </w:r>
      <w:r w:rsidR="00D40263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D40263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62A3D0AD" w14:textId="77777777" w:rsidR="00D40263" w:rsidRPr="003D10AC" w:rsidRDefault="00D40263" w:rsidP="00D4026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B15D" w14:textId="0432784D" w:rsidR="00114449" w:rsidRDefault="00114449">
    <w:pPr>
      <w:pStyle w:val="Pta"/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1562CE">
      <w:rPr>
        <w:rFonts w:ascii="Arial Narrow" w:hAnsi="Arial Narrow"/>
        <w:sz w:val="18"/>
        <w:szCs w:val="18"/>
        <w:lang w:val="sk-SK"/>
      </w:rPr>
      <w:t>Náboje</w:t>
    </w:r>
    <w:r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60670">
    <w:abstractNumId w:val="16"/>
  </w:num>
  <w:num w:numId="2" w16cid:durableId="796871609">
    <w:abstractNumId w:val="13"/>
  </w:num>
  <w:num w:numId="3" w16cid:durableId="1761876885">
    <w:abstractNumId w:val="11"/>
  </w:num>
  <w:num w:numId="4" w16cid:durableId="1938169035">
    <w:abstractNumId w:val="19"/>
  </w:num>
  <w:num w:numId="5" w16cid:durableId="1887982020">
    <w:abstractNumId w:val="8"/>
  </w:num>
  <w:num w:numId="6" w16cid:durableId="579291277">
    <w:abstractNumId w:val="4"/>
  </w:num>
  <w:num w:numId="7" w16cid:durableId="1695836886">
    <w:abstractNumId w:val="9"/>
  </w:num>
  <w:num w:numId="8" w16cid:durableId="1984650105">
    <w:abstractNumId w:val="21"/>
  </w:num>
  <w:num w:numId="9" w16cid:durableId="969822732">
    <w:abstractNumId w:val="10"/>
  </w:num>
  <w:num w:numId="10" w16cid:durableId="232663800">
    <w:abstractNumId w:val="14"/>
  </w:num>
  <w:num w:numId="11" w16cid:durableId="1927958877">
    <w:abstractNumId w:val="17"/>
  </w:num>
  <w:num w:numId="12" w16cid:durableId="2067407727">
    <w:abstractNumId w:val="20"/>
  </w:num>
  <w:num w:numId="13" w16cid:durableId="183443489">
    <w:abstractNumId w:val="1"/>
  </w:num>
  <w:num w:numId="14" w16cid:durableId="737898824">
    <w:abstractNumId w:val="7"/>
  </w:num>
  <w:num w:numId="15" w16cid:durableId="569510660">
    <w:abstractNumId w:val="6"/>
  </w:num>
  <w:num w:numId="16" w16cid:durableId="566767723">
    <w:abstractNumId w:val="22"/>
  </w:num>
  <w:num w:numId="17" w16cid:durableId="1449740606">
    <w:abstractNumId w:val="3"/>
  </w:num>
  <w:num w:numId="18" w16cid:durableId="7963421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28358468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31707980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3064420">
    <w:abstractNumId w:val="5"/>
  </w:num>
  <w:num w:numId="22" w16cid:durableId="1731418138">
    <w:abstractNumId w:val="15"/>
  </w:num>
  <w:num w:numId="23" w16cid:durableId="1171722056">
    <w:abstractNumId w:val="18"/>
  </w:num>
  <w:num w:numId="24" w16cid:durableId="15415172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2161"/>
    <w:rsid w:val="00CD3C28"/>
    <w:rsid w:val="00CD6C8F"/>
    <w:rsid w:val="00CD6DDF"/>
    <w:rsid w:val="00CF2525"/>
    <w:rsid w:val="00D02F5E"/>
    <w:rsid w:val="00D21D4B"/>
    <w:rsid w:val="00D26182"/>
    <w:rsid w:val="00D40263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13</cp:revision>
  <dcterms:created xsi:type="dcterms:W3CDTF">2021-12-30T08:47:00Z</dcterms:created>
  <dcterms:modified xsi:type="dcterms:W3CDTF">2025-05-20T10:34:00Z</dcterms:modified>
</cp:coreProperties>
</file>