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73652C5C"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A92BA4">
        <w:rPr>
          <w:rFonts w:cstheme="minorHAnsi"/>
          <w:b/>
          <w:sz w:val="28"/>
          <w:szCs w:val="28"/>
        </w:rPr>
        <w:t xml:space="preserve">. </w:t>
      </w:r>
      <w:r w:rsidR="004C067B" w:rsidRPr="00A92BA4">
        <w:rPr>
          <w:rFonts w:cstheme="minorHAnsi"/>
          <w:b/>
          <w:sz w:val="28"/>
          <w:szCs w:val="28"/>
        </w:rPr>
        <w:t>4</w:t>
      </w:r>
      <w:r w:rsidR="00A92BA4" w:rsidRPr="00A92BA4">
        <w:rPr>
          <w:rFonts w:cstheme="minorHAnsi"/>
          <w:b/>
          <w:sz w:val="28"/>
          <w:szCs w:val="28"/>
        </w:rPr>
        <w:t>4</w:t>
      </w:r>
      <w:r w:rsidR="004C067B" w:rsidRPr="00A92BA4">
        <w:rPr>
          <w:rFonts w:cstheme="minorHAnsi"/>
          <w:b/>
          <w:sz w:val="28"/>
          <w:szCs w:val="28"/>
        </w:rPr>
        <w:t>/2025</w:t>
      </w:r>
      <w:r w:rsidR="002214E3" w:rsidRPr="00A92BA4">
        <w:rPr>
          <w:rFonts w:cstheme="minorHAnsi"/>
          <w:b/>
          <w:sz w:val="28"/>
          <w:szCs w:val="28"/>
        </w:rPr>
        <w:t xml:space="preserve"> s názvom</w:t>
      </w:r>
      <w:r w:rsidR="002214E3" w:rsidRPr="00601161">
        <w:rPr>
          <w:rFonts w:cstheme="minorHAnsi"/>
          <w:b/>
          <w:sz w:val="28"/>
          <w:szCs w:val="28"/>
        </w:rPr>
        <w:t xml:space="preserve">: </w:t>
      </w:r>
    </w:p>
    <w:p w14:paraId="753946AC" w14:textId="7F41CC7E"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A92BA4">
        <w:rPr>
          <w:rFonts w:cstheme="minorHAnsi"/>
          <w:b/>
          <w:sz w:val="28"/>
          <w:szCs w:val="28"/>
        </w:rPr>
        <w:t>4</w:t>
      </w:r>
      <w:r w:rsidR="00A92BA4" w:rsidRPr="00A92BA4">
        <w:rPr>
          <w:rFonts w:cstheme="minorHAnsi"/>
          <w:b/>
          <w:sz w:val="28"/>
          <w:szCs w:val="28"/>
        </w:rPr>
        <w:t>4</w:t>
      </w:r>
      <w:r w:rsidR="00273CB2" w:rsidRPr="00A92BA4">
        <w:rPr>
          <w:rFonts w:cstheme="minorHAnsi"/>
          <w:b/>
          <w:sz w:val="28"/>
          <w:szCs w:val="28"/>
        </w:rPr>
        <w:t>/2025 pre</w:t>
      </w:r>
      <w:r w:rsidR="00A92BA4" w:rsidRPr="00A92BA4">
        <w:rPr>
          <w:rFonts w:cstheme="minorHAnsi"/>
          <w:b/>
          <w:sz w:val="28"/>
          <w:szCs w:val="28"/>
        </w:rPr>
        <w:t xml:space="preserve"> závod Michalovce, Hviezdoslavova 66</w:t>
      </w:r>
      <w:r w:rsidR="00273CB2" w:rsidRPr="00A92BA4">
        <w:rPr>
          <w:rFonts w:cstheme="minorHAnsi"/>
          <w:b/>
          <w:sz w:val="28"/>
          <w:szCs w:val="28"/>
        </w:rPr>
        <w:t xml:space="preserve"> </w:t>
      </w:r>
      <w:r w:rsidRPr="00A92BA4">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A92BA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A92BA4"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w:t>
      </w:r>
      <w:r w:rsidRPr="00A92BA4">
        <w:rPr>
          <w:rFonts w:asciiTheme="minorHAnsi" w:hAnsiTheme="minorHAnsi" w:cstheme="minorHAnsi"/>
          <w:bCs/>
          <w:sz w:val="22"/>
          <w:szCs w:val="22"/>
        </w:rPr>
        <w:t xml:space="preserve">1 - Certifikované tovary </w:t>
      </w:r>
    </w:p>
    <w:p w14:paraId="539F9348" w14:textId="6A9FC026" w:rsidR="00CA7785" w:rsidRDefault="00CA7785" w:rsidP="00A92BA4">
      <w:pPr>
        <w:pStyle w:val="Odsekzoznamu"/>
        <w:tabs>
          <w:tab w:val="left" w:pos="426"/>
        </w:tabs>
        <w:spacing w:after="120"/>
        <w:ind w:left="851"/>
        <w:contextualSpacing w:val="0"/>
        <w:jc w:val="both"/>
        <w:rPr>
          <w:rFonts w:asciiTheme="minorHAnsi" w:hAnsiTheme="minorHAnsi" w:cstheme="minorHAnsi"/>
          <w:bCs/>
          <w:sz w:val="22"/>
          <w:szCs w:val="22"/>
        </w:rPr>
      </w:pPr>
      <w:r w:rsidRPr="00A92BA4">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5D68D693" w:rsidR="00C25738" w:rsidRPr="00CA7785" w:rsidRDefault="3C510B34" w:rsidP="720FEBFD">
      <w:pPr>
        <w:pStyle w:val="Odsekzoznamu"/>
        <w:numPr>
          <w:ilvl w:val="1"/>
          <w:numId w:val="18"/>
        </w:numPr>
        <w:spacing w:after="120"/>
        <w:ind w:hanging="508"/>
        <w:jc w:val="both"/>
        <w:rPr>
          <w:rFonts w:asciiTheme="minorHAnsi" w:hAnsiTheme="minorHAnsi" w:cstheme="minorBidi"/>
          <w:b/>
          <w:bCs/>
          <w:sz w:val="22"/>
          <w:szCs w:val="22"/>
        </w:rPr>
      </w:pPr>
      <w:r w:rsidRPr="720FEBFD">
        <w:rPr>
          <w:rFonts w:asciiTheme="minorHAnsi" w:eastAsia="Arial" w:hAnsiTheme="minorHAnsi" w:cstheme="minorBidi"/>
          <w:sz w:val="22"/>
          <w:szCs w:val="22"/>
        </w:rPr>
        <w:t>R</w:t>
      </w:r>
      <w:r w:rsidR="00CA7785" w:rsidRPr="720FEBFD">
        <w:rPr>
          <w:rFonts w:asciiTheme="minorHAnsi" w:eastAsia="Arial" w:hAnsiTheme="minorHAnsi" w:cstheme="minorBidi"/>
          <w:sz w:val="22"/>
          <w:szCs w:val="22"/>
        </w:rPr>
        <w:t xml:space="preserve">ozsah tejto </w:t>
      </w:r>
      <w:r w:rsidR="00DB6961" w:rsidRPr="720FEBFD">
        <w:rPr>
          <w:rFonts w:asciiTheme="minorHAnsi" w:eastAsia="Arial" w:hAnsiTheme="minorHAnsi" w:cstheme="minorBidi"/>
          <w:sz w:val="22"/>
          <w:szCs w:val="22"/>
        </w:rPr>
        <w:t>V</w:t>
      </w:r>
      <w:r w:rsidR="00CA7785" w:rsidRPr="720FEBFD">
        <w:rPr>
          <w:rFonts w:asciiTheme="minorHAnsi" w:eastAsia="Arial" w:hAnsiTheme="minorHAnsi" w:cstheme="minorBidi"/>
          <w:sz w:val="22"/>
          <w:szCs w:val="22"/>
        </w:rPr>
        <w:t>ýzvy je vyjadren</w:t>
      </w:r>
      <w:r w:rsidR="6517C78C" w:rsidRPr="720FEBFD">
        <w:rPr>
          <w:rFonts w:asciiTheme="minorHAnsi" w:eastAsia="Arial" w:hAnsiTheme="minorHAnsi" w:cstheme="minorBidi"/>
          <w:sz w:val="22"/>
          <w:szCs w:val="22"/>
        </w:rPr>
        <w:t>ý</w:t>
      </w:r>
      <w:r w:rsidR="00CA7785" w:rsidRPr="720FEBFD">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720FEBFD">
        <w:rPr>
          <w:rFonts w:asciiTheme="minorHAnsi" w:eastAsia="Arial" w:hAnsiTheme="minorHAnsi" w:cstheme="minorBidi"/>
          <w:sz w:val="22"/>
          <w:szCs w:val="22"/>
        </w:rPr>
        <w:t>3</w:t>
      </w:r>
      <w:r w:rsidR="00C25738" w:rsidRPr="720FEBFD">
        <w:rPr>
          <w:rFonts w:asciiTheme="minorHAnsi" w:eastAsia="Arial" w:hAnsiTheme="minorHAnsi" w:cstheme="minorBidi"/>
          <w:sz w:val="22"/>
          <w:szCs w:val="22"/>
        </w:rPr>
        <w:t>.</w:t>
      </w:r>
    </w:p>
    <w:p w14:paraId="0E2B9395" w14:textId="1669A0D8" w:rsidR="00CA7785" w:rsidRPr="00957B5D"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w:t>
      </w:r>
      <w:r w:rsidRPr="00957B5D">
        <w:rPr>
          <w:rFonts w:asciiTheme="minorHAnsi" w:eastAsia="Arial" w:hAnsiTheme="minorHAnsi" w:cstheme="minorHAnsi"/>
          <w:bCs/>
          <w:sz w:val="22"/>
          <w:szCs w:val="22"/>
        </w:rPr>
        <w:t xml:space="preserve">množstvo zákazky: </w:t>
      </w:r>
      <w:r w:rsidR="00A92BA4" w:rsidRPr="00957B5D">
        <w:rPr>
          <w:rFonts w:asciiTheme="minorHAnsi" w:eastAsia="Arial" w:hAnsiTheme="minorHAnsi" w:cstheme="minorHAnsi"/>
          <w:bCs/>
          <w:sz w:val="22"/>
          <w:szCs w:val="22"/>
        </w:rPr>
        <w:t>291</w:t>
      </w:r>
      <w:r w:rsidRPr="00957B5D">
        <w:rPr>
          <w:rFonts w:asciiTheme="minorHAnsi" w:eastAsia="Arial" w:hAnsiTheme="minorHAnsi" w:cstheme="minorHAnsi"/>
          <w:bCs/>
          <w:sz w:val="22"/>
          <w:szCs w:val="22"/>
        </w:rPr>
        <w:t xml:space="preserve"> celkového množstvo materiálu</w:t>
      </w:r>
    </w:p>
    <w:p w14:paraId="5B648092" w14:textId="26E21136" w:rsidR="00CA7785" w:rsidRPr="00957B5D"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957B5D">
        <w:rPr>
          <w:rFonts w:asciiTheme="minorHAnsi" w:eastAsia="Arial" w:hAnsiTheme="minorHAnsi" w:cstheme="minorHAnsi"/>
          <w:bCs/>
          <w:sz w:val="22"/>
          <w:szCs w:val="22"/>
        </w:rPr>
        <w:t xml:space="preserve">Pre časť č. 1 – Certifikované tovary – </w:t>
      </w:r>
      <w:r w:rsidR="00A92BA4" w:rsidRPr="00957B5D">
        <w:rPr>
          <w:rFonts w:asciiTheme="minorHAnsi" w:eastAsia="Arial" w:hAnsiTheme="minorHAnsi" w:cstheme="minorHAnsi"/>
          <w:bCs/>
          <w:sz w:val="22"/>
          <w:szCs w:val="22"/>
        </w:rPr>
        <w:t>105</w:t>
      </w:r>
      <w:r w:rsidRPr="00957B5D">
        <w:rPr>
          <w:rFonts w:asciiTheme="minorHAnsi" w:eastAsia="Arial" w:hAnsiTheme="minorHAnsi" w:cstheme="minorHAnsi"/>
          <w:bCs/>
          <w:sz w:val="22"/>
          <w:szCs w:val="22"/>
        </w:rPr>
        <w:t xml:space="preserve"> množstvo materiálu (pre rúru </w:t>
      </w:r>
      <w:r w:rsidR="00957B5D" w:rsidRPr="00957B5D">
        <w:rPr>
          <w:rFonts w:asciiTheme="minorHAnsi" w:eastAsia="Arial" w:hAnsiTheme="minorHAnsi" w:cstheme="minorHAnsi"/>
          <w:bCs/>
          <w:sz w:val="22"/>
          <w:szCs w:val="22"/>
        </w:rPr>
        <w:t>60</w:t>
      </w:r>
      <w:r w:rsidR="004104E9" w:rsidRPr="00957B5D">
        <w:rPr>
          <w:rFonts w:asciiTheme="minorHAnsi" w:eastAsia="Arial" w:hAnsiTheme="minorHAnsi" w:cstheme="minorHAnsi"/>
          <w:bCs/>
          <w:sz w:val="22"/>
          <w:szCs w:val="22"/>
        </w:rPr>
        <w:t xml:space="preserve"> metrov)</w:t>
      </w:r>
    </w:p>
    <w:p w14:paraId="2307C35E" w14:textId="700E3740"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957B5D">
        <w:rPr>
          <w:rFonts w:asciiTheme="minorHAnsi" w:eastAsia="Arial" w:hAnsiTheme="minorHAnsi" w:cstheme="minorHAnsi"/>
          <w:bCs/>
          <w:sz w:val="22"/>
          <w:szCs w:val="22"/>
        </w:rPr>
        <w:t xml:space="preserve">Pre časť č. 2 – Necertifikované tovary – </w:t>
      </w:r>
      <w:r w:rsidR="00A92BA4" w:rsidRPr="00957B5D">
        <w:rPr>
          <w:rFonts w:asciiTheme="minorHAnsi" w:eastAsia="Arial" w:hAnsiTheme="minorHAnsi" w:cstheme="minorHAnsi"/>
          <w:bCs/>
          <w:sz w:val="22"/>
          <w:szCs w:val="22"/>
        </w:rPr>
        <w:t>186</w:t>
      </w:r>
      <w:r w:rsidRPr="00957B5D">
        <w:rPr>
          <w:rFonts w:asciiTheme="minorHAnsi" w:eastAsia="Arial" w:hAnsiTheme="minorHAnsi" w:cstheme="minorHAnsi"/>
          <w:bCs/>
          <w:sz w:val="22"/>
          <w:szCs w:val="22"/>
        </w:rPr>
        <w:t xml:space="preserve"> množstva materiálu (pre vodič </w:t>
      </w:r>
      <w:r w:rsidR="00957B5D" w:rsidRPr="00957B5D">
        <w:rPr>
          <w:rFonts w:asciiTheme="minorHAnsi" w:eastAsia="Arial" w:hAnsiTheme="minorHAnsi" w:cstheme="minorHAnsi"/>
          <w:bCs/>
          <w:sz w:val="22"/>
          <w:szCs w:val="22"/>
        </w:rPr>
        <w:t>20</w:t>
      </w:r>
      <w:r w:rsidRPr="00957B5D">
        <w:rPr>
          <w:rFonts w:asciiTheme="minorHAnsi" w:eastAsia="Arial" w:hAnsiTheme="minorHAnsi" w:cstheme="minorHAnsi"/>
          <w:bCs/>
          <w:sz w:val="22"/>
          <w:szCs w:val="22"/>
        </w:rPr>
        <w:t xml:space="preserve"> metrov).</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2B0BC406" w:rsidR="001D25DA" w:rsidRPr="00957B5D" w:rsidRDefault="009D04F5" w:rsidP="00957B5D">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957B5D">
        <w:rPr>
          <w:rFonts w:asciiTheme="minorHAnsi" w:hAnsiTheme="minorHAnsi" w:cstheme="minorHAnsi"/>
          <w:b/>
          <w:sz w:val="22"/>
          <w:szCs w:val="22"/>
        </w:rPr>
        <w:t>Miesto dodania:</w:t>
      </w:r>
      <w:r w:rsidR="004104E9" w:rsidRPr="00957B5D">
        <w:rPr>
          <w:rFonts w:asciiTheme="minorHAnsi" w:hAnsiTheme="minorHAnsi" w:cstheme="minorHAnsi"/>
          <w:b/>
          <w:sz w:val="22"/>
          <w:szCs w:val="22"/>
        </w:rPr>
        <w:t xml:space="preserve"> </w:t>
      </w:r>
      <w:r w:rsidR="00A92BA4" w:rsidRPr="00957B5D">
        <w:rPr>
          <w:rFonts w:asciiTheme="minorHAnsi" w:hAnsiTheme="minorHAnsi" w:cstheme="minorHAnsi"/>
          <w:bCs/>
          <w:sz w:val="22"/>
          <w:szCs w:val="22"/>
        </w:rPr>
        <w:t>závod Michalovce, Hviezdoslavova 66</w:t>
      </w:r>
      <w:r w:rsidR="00D204D6" w:rsidRPr="00957B5D">
        <w:rPr>
          <w:rFonts w:asciiTheme="minorHAnsi" w:hAnsiTheme="minorHAnsi" w:cstheme="minorHAnsi"/>
          <w:bCs/>
          <w:sz w:val="22"/>
          <w:szCs w:val="22"/>
        </w:rPr>
        <w:t>, 071 01 Michalovce.</w:t>
      </w:r>
    </w:p>
    <w:p w14:paraId="6CF6F902" w14:textId="2E5F499D" w:rsidR="00AD4DA8" w:rsidRPr="00957B5D" w:rsidRDefault="00AD4DA8" w:rsidP="00957B5D">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957B5D">
        <w:rPr>
          <w:rFonts w:asciiTheme="minorHAnsi" w:hAnsiTheme="minorHAnsi" w:cstheme="minorHAnsi"/>
          <w:b/>
          <w:sz w:val="22"/>
          <w:szCs w:val="22"/>
        </w:rPr>
        <w:t xml:space="preserve">Obhliadka: </w:t>
      </w:r>
      <w:r w:rsidR="00DD49AC" w:rsidRPr="00957B5D">
        <w:rPr>
          <w:rFonts w:asciiTheme="minorHAnsi" w:hAnsiTheme="minorHAnsi" w:cstheme="minorHAnsi"/>
          <w:sz w:val="22"/>
          <w:szCs w:val="22"/>
        </w:rPr>
        <w:t>Nevyžaduje sa</w:t>
      </w:r>
      <w:r w:rsidRPr="00957B5D">
        <w:rPr>
          <w:rFonts w:asciiTheme="minorHAnsi" w:hAnsiTheme="minorHAnsi" w:cstheme="minorHAnsi"/>
          <w:sz w:val="22"/>
          <w:szCs w:val="22"/>
        </w:rPr>
        <w:t>.</w:t>
      </w:r>
    </w:p>
    <w:p w14:paraId="44E77CCA" w14:textId="3A84251D" w:rsidR="00F60E54" w:rsidRPr="00957B5D" w:rsidRDefault="00913A7A" w:rsidP="00957B5D">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957B5D">
        <w:rPr>
          <w:rFonts w:asciiTheme="minorHAnsi" w:hAnsiTheme="minorHAnsi" w:cstheme="minorHAnsi"/>
          <w:b/>
          <w:sz w:val="22"/>
          <w:szCs w:val="22"/>
        </w:rPr>
        <w:t>Termín dodania</w:t>
      </w:r>
      <w:r w:rsidRPr="00957B5D">
        <w:rPr>
          <w:rFonts w:asciiTheme="minorHAnsi" w:hAnsiTheme="minorHAnsi" w:cstheme="minorHAnsi"/>
          <w:sz w:val="22"/>
          <w:szCs w:val="22"/>
        </w:rPr>
        <w:t xml:space="preserve">: </w:t>
      </w:r>
      <w:r w:rsidR="003F295D" w:rsidRPr="00957B5D">
        <w:rPr>
          <w:rFonts w:asciiTheme="minorHAnsi" w:hAnsiTheme="minorHAnsi" w:cstheme="minorHAnsi"/>
          <w:sz w:val="22"/>
          <w:szCs w:val="22"/>
        </w:rPr>
        <w:t xml:space="preserve"> </w:t>
      </w:r>
      <w:r w:rsidR="003F295D" w:rsidRPr="00957B5D">
        <w:rPr>
          <w:rFonts w:asciiTheme="minorHAnsi" w:hAnsiTheme="minorHAnsi" w:cstheme="minorHAnsi"/>
          <w:bCs/>
          <w:sz w:val="22"/>
          <w:szCs w:val="22"/>
        </w:rPr>
        <w:t>do 10 pracovných dní odo dňa doručenia objednávky.</w:t>
      </w:r>
      <w:r w:rsidR="003F295D" w:rsidRPr="00957B5D">
        <w:rPr>
          <w:rFonts w:asciiTheme="minorHAnsi" w:hAnsiTheme="minorHAnsi" w:cstheme="minorHAnsi"/>
          <w:sz w:val="22"/>
          <w:szCs w:val="22"/>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lastRenderedPageBreak/>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w:t>
      </w:r>
      <w:r w:rsidRPr="00A92BA4">
        <w:rPr>
          <w:rFonts w:asciiTheme="minorHAnsi" w:hAnsiTheme="minorHAnsi" w:cstheme="minorHAnsi"/>
          <w:b/>
          <w:sz w:val="22"/>
          <w:szCs w:val="22"/>
          <w:bdr w:val="none" w:sz="0" w:space="0" w:color="auto" w:frame="1"/>
        </w:rPr>
        <w:t xml:space="preserve">o súhlase so všeobecnými zmluvnými podmienkami spoločnosti VVS, </w:t>
      </w:r>
      <w:proofErr w:type="spellStart"/>
      <w:r w:rsidRPr="00A92BA4">
        <w:rPr>
          <w:rFonts w:asciiTheme="minorHAnsi" w:hAnsiTheme="minorHAnsi" w:cstheme="minorHAnsi"/>
          <w:b/>
          <w:sz w:val="22"/>
          <w:szCs w:val="22"/>
          <w:bdr w:val="none" w:sz="0" w:space="0" w:color="auto" w:frame="1"/>
        </w:rPr>
        <w:t>a.s</w:t>
      </w:r>
      <w:proofErr w:type="spellEnd"/>
      <w:r w:rsidRPr="00A92BA4">
        <w:rPr>
          <w:rFonts w:asciiTheme="minorHAnsi" w:hAnsiTheme="minorHAnsi" w:cstheme="minorHAnsi"/>
          <w:b/>
          <w:sz w:val="22"/>
          <w:szCs w:val="22"/>
          <w:bdr w:val="none" w:sz="0" w:space="0" w:color="auto" w:frame="1"/>
        </w:rPr>
        <w:t>. bez výhrad</w:t>
      </w:r>
      <w:r w:rsidR="00D77BD2" w:rsidRPr="00A92BA4">
        <w:rPr>
          <w:rFonts w:asciiTheme="minorHAnsi" w:hAnsiTheme="minorHAnsi" w:cstheme="minorHAnsi"/>
          <w:bCs/>
          <w:sz w:val="22"/>
          <w:szCs w:val="22"/>
          <w:bdr w:val="none" w:sz="0" w:space="0" w:color="auto" w:frame="1"/>
        </w:rPr>
        <w:t xml:space="preserve"> v zmysle Prílohy č. </w:t>
      </w:r>
      <w:r w:rsidR="007D7273" w:rsidRPr="00A92BA4">
        <w:rPr>
          <w:rFonts w:asciiTheme="minorHAnsi" w:hAnsiTheme="minorHAnsi" w:cstheme="minorHAnsi"/>
          <w:bCs/>
          <w:sz w:val="22"/>
          <w:szCs w:val="22"/>
          <w:bdr w:val="none" w:sz="0" w:space="0" w:color="auto" w:frame="1"/>
        </w:rPr>
        <w:t>1</w:t>
      </w:r>
      <w:r w:rsidR="0000604B" w:rsidRPr="00A92BA4">
        <w:rPr>
          <w:rFonts w:asciiTheme="minorHAnsi" w:hAnsiTheme="minorHAnsi" w:cstheme="minorHAnsi"/>
          <w:bCs/>
          <w:sz w:val="22"/>
          <w:szCs w:val="22"/>
          <w:bdr w:val="none" w:sz="0" w:space="0" w:color="auto" w:frame="1"/>
        </w:rPr>
        <w:t xml:space="preserve"> Čestné vyhlásenia</w:t>
      </w:r>
      <w:r w:rsidR="00D77BD2" w:rsidRPr="00A92BA4">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332A70B"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A92BA4">
        <w:rPr>
          <w:rFonts w:eastAsia="Calibri"/>
          <w:bdr w:val="none" w:sz="0" w:space="0" w:color="auto" w:frame="1"/>
        </w:rPr>
        <w:t xml:space="preserve">. </w:t>
      </w:r>
      <w:r w:rsidR="00273CB2" w:rsidRPr="00A92BA4">
        <w:rPr>
          <w:rFonts w:eastAsia="Calibri"/>
          <w:bdr w:val="none" w:sz="0" w:space="0" w:color="auto" w:frame="1"/>
        </w:rPr>
        <w:t>4</w:t>
      </w:r>
      <w:r w:rsidR="00A92BA4" w:rsidRPr="00A92BA4">
        <w:rPr>
          <w:rFonts w:eastAsia="Calibri"/>
          <w:bdr w:val="none" w:sz="0" w:space="0" w:color="auto" w:frame="1"/>
        </w:rPr>
        <w:t>4</w:t>
      </w:r>
      <w:r w:rsidR="00273CB2" w:rsidRPr="00A92BA4">
        <w:rPr>
          <w:rFonts w:eastAsia="Calibri"/>
          <w:bdr w:val="none" w:sz="0" w:space="0" w:color="auto" w:frame="1"/>
        </w:rPr>
        <w:t>/2025</w:t>
      </w:r>
      <w:r w:rsidR="00F92129" w:rsidRPr="00A92BA4">
        <w:rPr>
          <w:rFonts w:eastAsia="Calibri"/>
          <w:b/>
          <w:bCs/>
          <w:bdr w:val="none" w:sz="0" w:space="0" w:color="auto" w:frame="1"/>
        </w:rPr>
        <w:t xml:space="preserve"> </w:t>
      </w:r>
      <w:r w:rsidR="00F92129" w:rsidRPr="00A92BA4">
        <w:rPr>
          <w:rFonts w:eastAsia="Calibri"/>
          <w:bdr w:val="none" w:sz="0" w:space="0" w:color="auto" w:frame="1"/>
        </w:rPr>
        <w:t>v požadovanej štruktúre</w:t>
      </w:r>
      <w:r w:rsidRPr="00A92BA4">
        <w:rPr>
          <w:rFonts w:eastAsia="Calibri"/>
          <w:bdr w:val="none" w:sz="0" w:space="0" w:color="auto" w:frame="1"/>
        </w:rPr>
        <w:t xml:space="preserve"> (</w:t>
      </w:r>
      <w:proofErr w:type="spellStart"/>
      <w:r w:rsidRPr="00A92BA4">
        <w:rPr>
          <w:rFonts w:eastAsia="Calibri"/>
          <w:bdr w:val="none" w:sz="0" w:space="0" w:color="auto" w:frame="1"/>
        </w:rPr>
        <w:t>pdf</w:t>
      </w:r>
      <w:proofErr w:type="spellEnd"/>
      <w:r w:rsidRPr="00A92BA4">
        <w:rPr>
          <w:rFonts w:eastAsia="Calibri"/>
          <w:bdr w:val="none" w:sz="0" w:space="0" w:color="auto" w:frame="1"/>
        </w:rPr>
        <w:t xml:space="preserve"> formát) </w:t>
      </w:r>
      <w:r w:rsidR="00F92129" w:rsidRPr="00A92BA4">
        <w:rPr>
          <w:rFonts w:eastAsia="Calibri"/>
          <w:bdr w:val="none" w:sz="0" w:space="0" w:color="auto" w:frame="1"/>
        </w:rPr>
        <w:t>podpísaná štatutárnym orgánom uchádzača</w:t>
      </w:r>
      <w:r w:rsidR="00F92129" w:rsidRPr="4E374902">
        <w:rPr>
          <w:rFonts w:eastAsia="Calibri"/>
          <w:bdr w:val="none" w:sz="0" w:space="0" w:color="auto" w:frame="1"/>
        </w:rPr>
        <w:t xml:space="preserve">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lastRenderedPageBreak/>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4DD58DAD"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ED6984" w:rsidRPr="00957B5D">
        <w:rPr>
          <w:rFonts w:asciiTheme="minorHAnsi" w:hAnsiTheme="minorHAnsi" w:cstheme="minorHAnsi"/>
          <w:b/>
          <w:color w:val="FF0000"/>
          <w:sz w:val="22"/>
          <w:szCs w:val="22"/>
        </w:rPr>
        <w:t>30</w:t>
      </w:r>
      <w:r w:rsidR="00105EB6" w:rsidRPr="00957B5D">
        <w:rPr>
          <w:rFonts w:asciiTheme="minorHAnsi" w:hAnsiTheme="minorHAnsi" w:cstheme="minorHAnsi"/>
          <w:b/>
          <w:color w:val="FF0000"/>
          <w:sz w:val="22"/>
          <w:szCs w:val="22"/>
        </w:rPr>
        <w:t>.0</w:t>
      </w:r>
      <w:r w:rsidR="00CA4B41" w:rsidRPr="00957B5D">
        <w:rPr>
          <w:rFonts w:asciiTheme="minorHAnsi" w:hAnsiTheme="minorHAnsi" w:cstheme="minorHAnsi"/>
          <w:b/>
          <w:color w:val="FF0000"/>
          <w:sz w:val="22"/>
          <w:szCs w:val="22"/>
        </w:rPr>
        <w:t>5</w:t>
      </w:r>
      <w:r w:rsidR="00772280" w:rsidRPr="00957B5D">
        <w:rPr>
          <w:rFonts w:asciiTheme="minorHAnsi" w:hAnsiTheme="minorHAnsi" w:cstheme="minorHAnsi"/>
          <w:b/>
          <w:color w:val="FF0000"/>
          <w:sz w:val="22"/>
          <w:szCs w:val="22"/>
        </w:rPr>
        <w:t>.202</w:t>
      </w:r>
      <w:r w:rsidR="00D77FA9" w:rsidRPr="00957B5D">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lastRenderedPageBreak/>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A92BA4">
        <w:rPr>
          <w:rFonts w:asciiTheme="minorHAnsi" w:hAnsiTheme="minorHAnsi" w:cstheme="minorBidi"/>
          <w:sz w:val="22"/>
          <w:szCs w:val="22"/>
        </w:rPr>
        <w:t>ktoré sú predložené za účelom preukázania parametrov vyjadriteľných/ definovaných všeobecne zaužívanými jednotkami (napr. kg, m, m</w:t>
      </w:r>
      <w:r w:rsidRPr="00A92BA4">
        <w:rPr>
          <w:rFonts w:asciiTheme="minorHAnsi" w:hAnsiTheme="minorHAnsi" w:cstheme="minorBidi"/>
          <w:sz w:val="22"/>
          <w:szCs w:val="22"/>
          <w:vertAlign w:val="superscript"/>
        </w:rPr>
        <w:t>3</w:t>
      </w:r>
      <w:r w:rsidRPr="00A92BA4">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lastRenderedPageBreak/>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A92BA4">
        <w:rPr>
          <w:rFonts w:asciiTheme="minorHAnsi" w:hAnsiTheme="minorHAnsi" w:cstheme="minorBidi"/>
          <w:sz w:val="22"/>
          <w:szCs w:val="22"/>
        </w:rPr>
        <w:t>zákazky (</w:t>
      </w:r>
      <w:r w:rsidR="00A76CA6" w:rsidRPr="00A92BA4">
        <w:rPr>
          <w:rFonts w:asciiTheme="minorHAnsi" w:hAnsiTheme="minorHAnsi" w:cstheme="minorBidi"/>
          <w:sz w:val="22"/>
          <w:szCs w:val="22"/>
        </w:rPr>
        <w:t xml:space="preserve">tiež </w:t>
      </w:r>
      <w:r w:rsidRPr="00A92BA4">
        <w:rPr>
          <w:rFonts w:asciiTheme="minorHAnsi" w:hAnsiTheme="minorHAnsi" w:cstheme="minorBidi"/>
          <w:sz w:val="22"/>
          <w:szCs w:val="22"/>
        </w:rPr>
        <w:t>súhlas s</w:t>
      </w:r>
      <w:r w:rsidR="00A76CA6" w:rsidRPr="00A92BA4">
        <w:rPr>
          <w:rFonts w:asciiTheme="minorHAnsi" w:hAnsiTheme="minorHAnsi" w:cstheme="minorBidi"/>
          <w:sz w:val="22"/>
          <w:szCs w:val="22"/>
        </w:rPr>
        <w:t>o</w:t>
      </w:r>
      <w:r w:rsidRPr="00A92BA4">
        <w:rPr>
          <w:rFonts w:asciiTheme="minorHAnsi" w:hAnsiTheme="minorHAnsi" w:cstheme="minorBidi"/>
          <w:sz w:val="22"/>
          <w:szCs w:val="22"/>
        </w:rPr>
        <w:t xml:space="preserve"> </w:t>
      </w:r>
      <w:r w:rsidR="00A76CA6" w:rsidRPr="00A92BA4">
        <w:rPr>
          <w:rFonts w:asciiTheme="minorHAnsi" w:hAnsiTheme="minorHAnsi" w:cstheme="minorBidi"/>
          <w:sz w:val="22"/>
          <w:szCs w:val="22"/>
        </w:rPr>
        <w:t xml:space="preserve">všeobecnými </w:t>
      </w:r>
      <w:r w:rsidRPr="00A92BA4">
        <w:rPr>
          <w:rFonts w:asciiTheme="minorHAnsi" w:hAnsiTheme="minorHAnsi" w:cstheme="minorBidi"/>
          <w:sz w:val="22"/>
          <w:szCs w:val="22"/>
        </w:rPr>
        <w:t>zmluvnými podmie</w:t>
      </w:r>
      <w:r w:rsidR="007216DE" w:rsidRPr="00A92BA4">
        <w:rPr>
          <w:rFonts w:asciiTheme="minorHAnsi" w:hAnsiTheme="minorHAnsi" w:cstheme="minorBidi"/>
          <w:sz w:val="22"/>
          <w:szCs w:val="22"/>
        </w:rPr>
        <w:t>n</w:t>
      </w:r>
      <w:r w:rsidRPr="00A92BA4">
        <w:rPr>
          <w:rFonts w:asciiTheme="minorHAnsi" w:hAnsiTheme="minorHAnsi" w:cstheme="minorBidi"/>
          <w:sz w:val="22"/>
          <w:szCs w:val="22"/>
        </w:rPr>
        <w:t xml:space="preserve">kami </w:t>
      </w:r>
      <w:r w:rsidR="007216DE" w:rsidRPr="00A92BA4">
        <w:rPr>
          <w:rFonts w:asciiTheme="minorHAnsi" w:hAnsiTheme="minorHAnsi" w:cstheme="minorBidi"/>
          <w:sz w:val="22"/>
          <w:szCs w:val="22"/>
        </w:rPr>
        <w:t>) sa uskutoční po vyhodnotení</w:t>
      </w:r>
      <w:r w:rsidR="007216DE" w:rsidRPr="4E374902">
        <w:rPr>
          <w:rFonts w:asciiTheme="minorHAnsi" w:hAnsiTheme="minorHAnsi" w:cstheme="minorBidi"/>
          <w:sz w:val="22"/>
          <w:szCs w:val="22"/>
        </w:rPr>
        <w:t xml:space="preserve">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lastRenderedPageBreak/>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w:t>
      </w:r>
      <w:r w:rsidRPr="00D772E3">
        <w:rPr>
          <w:rFonts w:asciiTheme="minorHAnsi" w:hAnsiTheme="minorHAnsi" w:cstheme="minorHAnsi"/>
          <w:sz w:val="22"/>
          <w:szCs w:val="22"/>
        </w:rPr>
        <w:lastRenderedPageBreak/>
        <w:t xml:space="preserve">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561C" w14:textId="77777777" w:rsidR="00754B08" w:rsidRDefault="00754B08">
      <w:pPr>
        <w:spacing w:after="0" w:line="240" w:lineRule="auto"/>
      </w:pPr>
      <w:r>
        <w:separator/>
      </w:r>
    </w:p>
  </w:endnote>
  <w:endnote w:type="continuationSeparator" w:id="0">
    <w:p w14:paraId="61729AEB" w14:textId="77777777" w:rsidR="00754B08" w:rsidRDefault="0075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FE8C" w14:textId="77777777" w:rsidR="00754B08" w:rsidRDefault="00754B08">
      <w:pPr>
        <w:spacing w:after="0" w:line="240" w:lineRule="auto"/>
      </w:pPr>
      <w:r>
        <w:separator/>
      </w:r>
    </w:p>
  </w:footnote>
  <w:footnote w:type="continuationSeparator" w:id="0">
    <w:p w14:paraId="0221C2BB" w14:textId="77777777" w:rsidR="00754B08" w:rsidRDefault="0075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0E9B"/>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5F3"/>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54B08"/>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57B5D"/>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46AFC"/>
    <w:rsid w:val="00A501A1"/>
    <w:rsid w:val="00A514A4"/>
    <w:rsid w:val="00A547CA"/>
    <w:rsid w:val="00A648E9"/>
    <w:rsid w:val="00A659E7"/>
    <w:rsid w:val="00A7091D"/>
    <w:rsid w:val="00A76CA6"/>
    <w:rsid w:val="00A80A30"/>
    <w:rsid w:val="00A8190B"/>
    <w:rsid w:val="00A85EA7"/>
    <w:rsid w:val="00A90529"/>
    <w:rsid w:val="00A9067E"/>
    <w:rsid w:val="00A9275C"/>
    <w:rsid w:val="00A92BA4"/>
    <w:rsid w:val="00A93262"/>
    <w:rsid w:val="00A97C3B"/>
    <w:rsid w:val="00AA09BC"/>
    <w:rsid w:val="00AB00D7"/>
    <w:rsid w:val="00AB30C4"/>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96436"/>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04D6"/>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2C5"/>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D6984"/>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697B51B"/>
    <w:rsid w:val="3C510B34"/>
    <w:rsid w:val="3FFB7B5B"/>
    <w:rsid w:val="451D120C"/>
    <w:rsid w:val="457550D0"/>
    <w:rsid w:val="4668A0AA"/>
    <w:rsid w:val="4947A461"/>
    <w:rsid w:val="4C05E720"/>
    <w:rsid w:val="4E374902"/>
    <w:rsid w:val="5024ECFE"/>
    <w:rsid w:val="50ABBA7F"/>
    <w:rsid w:val="5759BBE2"/>
    <w:rsid w:val="5C2A0C11"/>
    <w:rsid w:val="619EACE6"/>
    <w:rsid w:val="6517C78C"/>
    <w:rsid w:val="6838B7A6"/>
    <w:rsid w:val="6C11A22B"/>
    <w:rsid w:val="6FE38E5D"/>
    <w:rsid w:val="720FEBF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3708</Words>
  <Characters>21138</Characters>
  <Application>Microsoft Office Word</Application>
  <DocSecurity>0</DocSecurity>
  <Lines>176</Lines>
  <Paragraphs>49</Paragraphs>
  <ScaleCrop>false</ScaleCrop>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8</cp:revision>
  <cp:lastPrinted>2023-05-12T13:49:00Z</cp:lastPrinted>
  <dcterms:created xsi:type="dcterms:W3CDTF">2025-05-15T11:43:00Z</dcterms:created>
  <dcterms:modified xsi:type="dcterms:W3CDTF">2025-05-19T10:03:00Z</dcterms:modified>
</cp:coreProperties>
</file>