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4549878"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124509">
        <w:rPr>
          <w:rFonts w:cstheme="minorHAnsi"/>
          <w:b/>
          <w:sz w:val="28"/>
          <w:szCs w:val="28"/>
        </w:rPr>
        <w:t>46</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3D75A33D"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 xml:space="preserve">DNS VAKM výzva </w:t>
      </w:r>
      <w:r w:rsidR="00124509">
        <w:rPr>
          <w:rFonts w:cstheme="minorHAnsi"/>
          <w:b/>
          <w:sz w:val="28"/>
          <w:szCs w:val="28"/>
        </w:rPr>
        <w:t>46</w:t>
      </w:r>
      <w:r w:rsidR="00273CB2" w:rsidRPr="00677621">
        <w:rPr>
          <w:rFonts w:cstheme="minorHAnsi"/>
          <w:b/>
          <w:sz w:val="28"/>
          <w:szCs w:val="28"/>
        </w:rPr>
        <w:t>/2025 pre</w:t>
      </w:r>
      <w:r w:rsidR="00677621" w:rsidRPr="00677621">
        <w:rPr>
          <w:rFonts w:cstheme="minorHAnsi"/>
          <w:b/>
          <w:sz w:val="28"/>
          <w:szCs w:val="28"/>
        </w:rPr>
        <w:t xml:space="preserve"> závod </w:t>
      </w:r>
      <w:r w:rsidR="00124509">
        <w:rPr>
          <w:rFonts w:cstheme="minorHAnsi"/>
          <w:b/>
          <w:sz w:val="28"/>
          <w:szCs w:val="28"/>
        </w:rPr>
        <w:t>Trebišov</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1C4A0B06"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6A71A766" w:rsidR="00C25738" w:rsidRPr="008F3C23" w:rsidRDefault="40BBA472" w:rsidP="4A39BC2C">
      <w:pPr>
        <w:pStyle w:val="Odsekzoznamu"/>
        <w:numPr>
          <w:ilvl w:val="1"/>
          <w:numId w:val="18"/>
        </w:numPr>
        <w:spacing w:after="120"/>
        <w:ind w:hanging="508"/>
        <w:jc w:val="both"/>
        <w:rPr>
          <w:rFonts w:asciiTheme="minorHAnsi" w:hAnsiTheme="minorHAnsi" w:cstheme="minorBidi"/>
          <w:b/>
          <w:bCs/>
          <w:sz w:val="22"/>
          <w:szCs w:val="22"/>
        </w:rPr>
      </w:pPr>
      <w:r w:rsidRPr="4A39BC2C">
        <w:rPr>
          <w:rFonts w:asciiTheme="minorHAnsi" w:eastAsia="Arial" w:hAnsiTheme="minorHAnsi" w:cstheme="minorBidi"/>
          <w:sz w:val="22"/>
          <w:szCs w:val="22"/>
        </w:rPr>
        <w:t xml:space="preserve">Rozsah </w:t>
      </w:r>
      <w:r w:rsidR="00CA7785" w:rsidRPr="4A39BC2C">
        <w:rPr>
          <w:rFonts w:asciiTheme="minorHAnsi" w:eastAsia="Arial" w:hAnsiTheme="minorHAnsi" w:cstheme="minorBidi"/>
          <w:sz w:val="22"/>
          <w:szCs w:val="22"/>
        </w:rPr>
        <w:t xml:space="preserve">tejto </w:t>
      </w:r>
      <w:r w:rsidR="00DB6961" w:rsidRPr="4A39BC2C">
        <w:rPr>
          <w:rFonts w:asciiTheme="minorHAnsi" w:eastAsia="Arial" w:hAnsiTheme="minorHAnsi" w:cstheme="minorBidi"/>
          <w:sz w:val="22"/>
          <w:szCs w:val="22"/>
        </w:rPr>
        <w:t>V</w:t>
      </w:r>
      <w:r w:rsidR="00CA7785" w:rsidRPr="4A39BC2C">
        <w:rPr>
          <w:rFonts w:asciiTheme="minorHAnsi" w:eastAsia="Arial" w:hAnsiTheme="minorHAnsi" w:cstheme="minorBidi"/>
          <w:sz w:val="22"/>
          <w:szCs w:val="22"/>
        </w:rPr>
        <w:t>ýzvy je vyjadren</w:t>
      </w:r>
      <w:r w:rsidR="08541067" w:rsidRPr="4A39BC2C">
        <w:rPr>
          <w:rFonts w:asciiTheme="minorHAnsi" w:eastAsia="Arial" w:hAnsiTheme="minorHAnsi" w:cstheme="minorBidi"/>
          <w:sz w:val="22"/>
          <w:szCs w:val="22"/>
        </w:rPr>
        <w:t>ý</w:t>
      </w:r>
      <w:r w:rsidR="00CA7785" w:rsidRPr="4A39BC2C">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4A39BC2C">
        <w:rPr>
          <w:rFonts w:asciiTheme="minorHAnsi" w:eastAsia="Arial" w:hAnsiTheme="minorHAnsi" w:cstheme="minorBidi"/>
          <w:sz w:val="22"/>
          <w:szCs w:val="22"/>
        </w:rPr>
        <w:t>3</w:t>
      </w:r>
      <w:r w:rsidR="00C25738" w:rsidRPr="4A39BC2C">
        <w:rPr>
          <w:rFonts w:asciiTheme="minorHAnsi" w:eastAsia="Arial" w:hAnsiTheme="minorHAnsi" w:cstheme="minorBidi"/>
          <w:sz w:val="22"/>
          <w:szCs w:val="22"/>
        </w:rPr>
        <w:t>.</w:t>
      </w:r>
    </w:p>
    <w:p w14:paraId="0E2B9395" w14:textId="12484076"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124509">
        <w:rPr>
          <w:rFonts w:asciiTheme="minorHAnsi" w:eastAsia="Arial" w:hAnsiTheme="minorHAnsi" w:cstheme="minorHAnsi"/>
          <w:bCs/>
          <w:sz w:val="22"/>
          <w:szCs w:val="22"/>
        </w:rPr>
        <w:t xml:space="preserve">1947 </w:t>
      </w:r>
      <w:r w:rsidRPr="008F3C23">
        <w:rPr>
          <w:rFonts w:asciiTheme="minorHAnsi" w:eastAsia="Arial" w:hAnsiTheme="minorHAnsi" w:cstheme="minorHAnsi"/>
          <w:bCs/>
          <w:sz w:val="22"/>
          <w:szCs w:val="22"/>
        </w:rPr>
        <w:t>celkového množstvo materiálu</w:t>
      </w:r>
    </w:p>
    <w:p w14:paraId="5B648092" w14:textId="4DE1685C"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124509">
        <w:rPr>
          <w:rFonts w:asciiTheme="minorHAnsi" w:eastAsia="Arial" w:hAnsiTheme="minorHAnsi" w:cstheme="minorHAnsi"/>
          <w:bCs/>
          <w:sz w:val="22"/>
          <w:szCs w:val="22"/>
        </w:rPr>
        <w:t>1273</w:t>
      </w:r>
      <w:r w:rsidRPr="008F3C23">
        <w:rPr>
          <w:rFonts w:asciiTheme="minorHAnsi" w:eastAsia="Arial" w:hAnsiTheme="minorHAnsi" w:cstheme="minorHAnsi"/>
          <w:bCs/>
          <w:sz w:val="22"/>
          <w:szCs w:val="22"/>
        </w:rPr>
        <w:t xml:space="preserve"> množstvo materiálu (pre rúru </w:t>
      </w:r>
      <w:r w:rsidR="005F43CF">
        <w:rPr>
          <w:rFonts w:asciiTheme="minorHAnsi" w:eastAsia="Arial" w:hAnsiTheme="minorHAnsi" w:cstheme="minorHAnsi"/>
          <w:bCs/>
          <w:sz w:val="22"/>
          <w:szCs w:val="22"/>
        </w:rPr>
        <w:t>148</w:t>
      </w:r>
      <w:r w:rsidR="00F53598">
        <w:rPr>
          <w:rFonts w:asciiTheme="minorHAnsi" w:eastAsia="Arial" w:hAnsiTheme="minorHAnsi" w:cstheme="minorHAnsi"/>
          <w:bCs/>
          <w:sz w:val="22"/>
          <w:szCs w:val="22"/>
        </w:rPr>
        <w:t xml:space="preserve"> </w:t>
      </w:r>
      <w:r w:rsidR="004104E9" w:rsidRPr="008F3C23">
        <w:rPr>
          <w:rFonts w:asciiTheme="minorHAnsi" w:eastAsia="Arial" w:hAnsiTheme="minorHAnsi" w:cstheme="minorHAnsi"/>
          <w:bCs/>
          <w:sz w:val="22"/>
          <w:szCs w:val="22"/>
        </w:rPr>
        <w:t>metrov)</w:t>
      </w:r>
    </w:p>
    <w:p w14:paraId="2307C35E" w14:textId="65A6D706"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124509">
        <w:rPr>
          <w:rFonts w:asciiTheme="minorHAnsi" w:eastAsia="Arial" w:hAnsiTheme="minorHAnsi" w:cstheme="minorHAnsi"/>
          <w:bCs/>
          <w:sz w:val="22"/>
          <w:szCs w:val="22"/>
        </w:rPr>
        <w:t>674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w:t>
      </w:r>
      <w:r w:rsidR="005F43CF">
        <w:rPr>
          <w:rFonts w:asciiTheme="minorHAnsi" w:eastAsia="Arial" w:hAnsiTheme="minorHAnsi" w:cstheme="minorHAnsi"/>
          <w:bCs/>
          <w:sz w:val="22"/>
          <w:szCs w:val="22"/>
        </w:rPr>
        <w:t>fóliu</w:t>
      </w:r>
      <w:r w:rsidR="00EC66FB" w:rsidRPr="008F3C23">
        <w:rPr>
          <w:rFonts w:asciiTheme="minorHAnsi" w:eastAsia="Arial" w:hAnsiTheme="minorHAnsi" w:cstheme="minorHAnsi"/>
          <w:bCs/>
          <w:sz w:val="22"/>
          <w:szCs w:val="22"/>
        </w:rPr>
        <w:t xml:space="preserve"> </w:t>
      </w:r>
      <w:r w:rsidR="00F53598">
        <w:rPr>
          <w:rFonts w:asciiTheme="minorHAnsi" w:eastAsia="Arial" w:hAnsiTheme="minorHAnsi" w:cstheme="minorHAnsi"/>
          <w:bCs/>
          <w:sz w:val="22"/>
          <w:szCs w:val="22"/>
        </w:rPr>
        <w:t xml:space="preserve"> </w:t>
      </w:r>
      <w:r w:rsidR="005F43CF">
        <w:rPr>
          <w:rFonts w:asciiTheme="minorHAnsi" w:eastAsia="Arial" w:hAnsiTheme="minorHAnsi" w:cstheme="minorHAnsi"/>
          <w:bCs/>
          <w:sz w:val="22"/>
          <w:szCs w:val="22"/>
        </w:rPr>
        <w:t>500</w:t>
      </w:r>
      <w:r w:rsidR="00F53598">
        <w:rPr>
          <w:rFonts w:asciiTheme="minorHAnsi" w:eastAsia="Arial" w:hAnsiTheme="minorHAnsi" w:cstheme="minorHAnsi"/>
          <w:bCs/>
          <w:sz w:val="22"/>
          <w:szCs w:val="22"/>
        </w:rPr>
        <w:t xml:space="preserve">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78BAC7AF" w:rsidR="001D25DA" w:rsidRPr="005F43CF"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sidRPr="005F43CF">
        <w:rPr>
          <w:rFonts w:asciiTheme="minorHAnsi" w:hAnsiTheme="minorHAnsi" w:cstheme="minorHAnsi"/>
          <w:bCs/>
          <w:sz w:val="22"/>
          <w:szCs w:val="22"/>
        </w:rPr>
        <w:t xml:space="preserve">závod </w:t>
      </w:r>
      <w:r w:rsidR="00124509" w:rsidRPr="005F43CF">
        <w:rPr>
          <w:rFonts w:asciiTheme="minorHAnsi" w:hAnsiTheme="minorHAnsi" w:cstheme="minorHAnsi"/>
          <w:bCs/>
          <w:sz w:val="22"/>
          <w:szCs w:val="22"/>
        </w:rPr>
        <w:t>Trebišov</w:t>
      </w:r>
      <w:r w:rsidR="00677621" w:rsidRPr="005F43CF">
        <w:rPr>
          <w:rFonts w:asciiTheme="minorHAnsi" w:hAnsiTheme="minorHAnsi" w:cstheme="minorHAnsi"/>
          <w:bCs/>
          <w:sz w:val="22"/>
          <w:szCs w:val="22"/>
        </w:rPr>
        <w:t xml:space="preserve">, </w:t>
      </w:r>
      <w:r w:rsidR="00124509" w:rsidRPr="005F43CF">
        <w:rPr>
          <w:rFonts w:asciiTheme="minorHAnsi" w:hAnsiTheme="minorHAnsi" w:cstheme="minorHAnsi"/>
          <w:bCs/>
          <w:sz w:val="22"/>
          <w:szCs w:val="22"/>
        </w:rPr>
        <w:t>ul. 29. augusta</w:t>
      </w:r>
      <w:r w:rsidR="005F43CF" w:rsidRPr="005F43CF">
        <w:rPr>
          <w:rFonts w:asciiTheme="minorHAnsi" w:hAnsiTheme="minorHAnsi" w:cstheme="minorHAnsi"/>
          <w:bCs/>
          <w:sz w:val="22"/>
          <w:szCs w:val="22"/>
        </w:rPr>
        <w:t xml:space="preserve">, sklad MTZ, </w:t>
      </w:r>
      <w:r w:rsidR="005D0898" w:rsidRPr="005F43CF">
        <w:rPr>
          <w:rFonts w:asciiTheme="minorHAnsi" w:hAnsiTheme="minorHAnsi" w:cstheme="minorHAnsi"/>
          <w:bCs/>
          <w:sz w:val="22"/>
          <w:szCs w:val="22"/>
        </w:rPr>
        <w:t xml:space="preserve"> </w:t>
      </w:r>
      <w:r w:rsidR="00124509" w:rsidRPr="005F43CF">
        <w:rPr>
          <w:rFonts w:asciiTheme="minorHAnsi" w:hAnsiTheme="minorHAnsi" w:cstheme="minorHAnsi"/>
          <w:bCs/>
          <w:sz w:val="22"/>
          <w:szCs w:val="22"/>
        </w:rPr>
        <w:t>075 01 Trebišov</w:t>
      </w:r>
      <w:r w:rsidR="00F53598" w:rsidRPr="005F43CF">
        <w:rPr>
          <w:rFonts w:asciiTheme="minorHAnsi" w:hAnsiTheme="minorHAnsi" w:cstheme="minorHAnsi"/>
          <w:bCs/>
          <w:sz w:val="22"/>
          <w:szCs w:val="22"/>
        </w:rPr>
        <w:t xml:space="preserve">. </w:t>
      </w:r>
    </w:p>
    <w:p w14:paraId="6CF6F902" w14:textId="2E5F499D" w:rsidR="00AD4DA8" w:rsidRPr="005F43CF"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5F43CF">
        <w:rPr>
          <w:rFonts w:asciiTheme="minorHAnsi" w:hAnsiTheme="minorHAnsi" w:cstheme="minorHAnsi"/>
          <w:b/>
          <w:sz w:val="22"/>
          <w:szCs w:val="22"/>
        </w:rPr>
        <w:t xml:space="preserve">Obhliadka: </w:t>
      </w:r>
      <w:r w:rsidR="00DD49AC" w:rsidRPr="005F43CF">
        <w:rPr>
          <w:rFonts w:asciiTheme="minorHAnsi" w:hAnsiTheme="minorHAnsi" w:cstheme="minorHAnsi"/>
          <w:sz w:val="22"/>
          <w:szCs w:val="22"/>
        </w:rPr>
        <w:t>Nevyžaduje sa</w:t>
      </w:r>
      <w:r w:rsidRPr="005F43CF">
        <w:rPr>
          <w:rFonts w:asciiTheme="minorHAnsi" w:hAnsiTheme="minorHAnsi" w:cstheme="minorHAnsi"/>
          <w:sz w:val="22"/>
          <w:szCs w:val="22"/>
        </w:rPr>
        <w:t>.</w:t>
      </w:r>
    </w:p>
    <w:p w14:paraId="44E77CCA" w14:textId="4A1D9A35" w:rsidR="00F60E54" w:rsidRPr="005F43CF"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005F43CF">
        <w:rPr>
          <w:rFonts w:asciiTheme="minorHAnsi" w:hAnsiTheme="minorHAnsi" w:cstheme="minorBidi"/>
          <w:b/>
          <w:bCs/>
          <w:sz w:val="22"/>
          <w:szCs w:val="22"/>
        </w:rPr>
        <w:t>Termín dodania</w:t>
      </w:r>
      <w:r w:rsidRPr="005F43CF">
        <w:rPr>
          <w:rFonts w:asciiTheme="minorHAnsi" w:hAnsiTheme="minorHAnsi" w:cstheme="minorBidi"/>
          <w:sz w:val="22"/>
          <w:szCs w:val="22"/>
        </w:rPr>
        <w:t xml:space="preserve">: </w:t>
      </w:r>
      <w:r w:rsidR="003F295D" w:rsidRPr="005F43CF">
        <w:rPr>
          <w:rFonts w:asciiTheme="minorHAnsi" w:hAnsiTheme="minorHAnsi" w:cstheme="minorBidi"/>
          <w:sz w:val="22"/>
          <w:szCs w:val="22"/>
        </w:rPr>
        <w:t xml:space="preserve"> </w:t>
      </w:r>
      <w:r w:rsidR="00F53598" w:rsidRPr="005F43CF">
        <w:rPr>
          <w:rFonts w:asciiTheme="minorHAnsi" w:hAnsiTheme="minorHAnsi" w:cstheme="minorBidi"/>
          <w:sz w:val="22"/>
          <w:szCs w:val="22"/>
        </w:rPr>
        <w:t>do 10 pracovných dní odo dňa doručenia objednávky.</w:t>
      </w:r>
    </w:p>
    <w:p w14:paraId="60F2030F" w14:textId="77777777" w:rsidR="00F53598" w:rsidRPr="005D0898" w:rsidRDefault="00F53598" w:rsidP="00F53598">
      <w:pPr>
        <w:pStyle w:val="Odsekzoznamu"/>
        <w:tabs>
          <w:tab w:val="left" w:pos="426"/>
        </w:tabs>
        <w:spacing w:after="120"/>
        <w:ind w:left="788"/>
        <w:jc w:val="both"/>
        <w:rPr>
          <w:rFonts w:asciiTheme="minorHAnsi" w:eastAsia="Times New Roman" w:hAnsiTheme="minorHAnsi" w:cstheme="minorBid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5FCE58B0"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54062E">
        <w:rPr>
          <w:rFonts w:eastAsia="Calibri"/>
          <w:bdr w:val="none" w:sz="0" w:space="0" w:color="auto" w:frame="1"/>
        </w:rPr>
        <w:t>6</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lastRenderedPageBreak/>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F38355C"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5F43CF">
        <w:rPr>
          <w:rFonts w:asciiTheme="minorHAnsi" w:hAnsiTheme="minorHAnsi" w:cstheme="minorHAnsi"/>
          <w:sz w:val="22"/>
          <w:szCs w:val="22"/>
        </w:rPr>
        <w:t>:</w:t>
      </w:r>
      <w:r w:rsidR="0029062B" w:rsidRPr="005F43CF">
        <w:rPr>
          <w:rFonts w:asciiTheme="minorHAnsi" w:hAnsiTheme="minorHAnsi" w:cstheme="minorHAnsi"/>
          <w:sz w:val="22"/>
          <w:szCs w:val="22"/>
        </w:rPr>
        <w:t xml:space="preserve"> </w:t>
      </w:r>
      <w:r w:rsidR="00E868D5" w:rsidRPr="005F43CF">
        <w:rPr>
          <w:rFonts w:asciiTheme="minorHAnsi" w:hAnsiTheme="minorHAnsi" w:cstheme="minorHAnsi"/>
          <w:b/>
          <w:color w:val="FF0000"/>
          <w:sz w:val="22"/>
          <w:szCs w:val="22"/>
        </w:rPr>
        <w:t>30</w:t>
      </w:r>
      <w:r w:rsidR="00105EB6" w:rsidRPr="005F43CF">
        <w:rPr>
          <w:rFonts w:asciiTheme="minorHAnsi" w:hAnsiTheme="minorHAnsi" w:cstheme="minorHAnsi"/>
          <w:b/>
          <w:color w:val="FF0000"/>
          <w:sz w:val="22"/>
          <w:szCs w:val="22"/>
        </w:rPr>
        <w:t>.0</w:t>
      </w:r>
      <w:r w:rsidR="00CA4B41" w:rsidRPr="005F43CF">
        <w:rPr>
          <w:rFonts w:asciiTheme="minorHAnsi" w:hAnsiTheme="minorHAnsi" w:cstheme="minorHAnsi"/>
          <w:b/>
          <w:color w:val="FF0000"/>
          <w:sz w:val="22"/>
          <w:szCs w:val="22"/>
        </w:rPr>
        <w:t>5</w:t>
      </w:r>
      <w:r w:rsidR="00772280" w:rsidRPr="005F43CF">
        <w:rPr>
          <w:rFonts w:asciiTheme="minorHAnsi" w:hAnsiTheme="minorHAnsi" w:cstheme="minorHAnsi"/>
          <w:b/>
          <w:color w:val="FF0000"/>
          <w:sz w:val="22"/>
          <w:szCs w:val="22"/>
        </w:rPr>
        <w:t>.202</w:t>
      </w:r>
      <w:r w:rsidR="00D77FA9" w:rsidRPr="005F43CF">
        <w:rPr>
          <w:rFonts w:asciiTheme="minorHAnsi" w:hAnsiTheme="minorHAnsi" w:cstheme="minorHAnsi"/>
          <w:b/>
          <w:color w:val="FF0000"/>
          <w:sz w:val="22"/>
          <w:szCs w:val="22"/>
        </w:rPr>
        <w:t>5</w:t>
      </w:r>
      <w:r w:rsidR="00772280" w:rsidRPr="005F43CF">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lastRenderedPageBreak/>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lastRenderedPageBreak/>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w:t>
      </w:r>
      <w:r w:rsidRPr="00D772E3">
        <w:rPr>
          <w:rFonts w:asciiTheme="minorHAnsi" w:hAnsiTheme="minorHAnsi" w:cstheme="minorHAnsi"/>
          <w:sz w:val="22"/>
          <w:szCs w:val="22"/>
        </w:rPr>
        <w:lastRenderedPageBreak/>
        <w:t xml:space="preserve">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8BCAC52"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254E08">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8B6A" w14:textId="77777777" w:rsidR="007D6975" w:rsidRDefault="007D6975">
      <w:pPr>
        <w:spacing w:after="0" w:line="240" w:lineRule="auto"/>
      </w:pPr>
      <w:r>
        <w:separator/>
      </w:r>
    </w:p>
  </w:endnote>
  <w:endnote w:type="continuationSeparator" w:id="0">
    <w:p w14:paraId="5BE536AC" w14:textId="77777777" w:rsidR="007D6975" w:rsidRDefault="007D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34F8" w14:textId="77777777" w:rsidR="007D6975" w:rsidRDefault="007D6975">
      <w:pPr>
        <w:spacing w:after="0" w:line="240" w:lineRule="auto"/>
      </w:pPr>
      <w:r>
        <w:separator/>
      </w:r>
    </w:p>
  </w:footnote>
  <w:footnote w:type="continuationSeparator" w:id="0">
    <w:p w14:paraId="707FD4E2" w14:textId="77777777" w:rsidR="007D6975" w:rsidRDefault="007D6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0F5C"/>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4509"/>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4E08"/>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7B0F"/>
    <w:rsid w:val="00437B95"/>
    <w:rsid w:val="004417FF"/>
    <w:rsid w:val="00441B6E"/>
    <w:rsid w:val="004420F2"/>
    <w:rsid w:val="0044324D"/>
    <w:rsid w:val="00445D44"/>
    <w:rsid w:val="00451C46"/>
    <w:rsid w:val="00457750"/>
    <w:rsid w:val="00457848"/>
    <w:rsid w:val="0046437F"/>
    <w:rsid w:val="00467594"/>
    <w:rsid w:val="00471C06"/>
    <w:rsid w:val="00472CDD"/>
    <w:rsid w:val="00476345"/>
    <w:rsid w:val="00476FC2"/>
    <w:rsid w:val="004772EA"/>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062E"/>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0333"/>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43CF"/>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3BD6"/>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C6D59"/>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975"/>
    <w:rsid w:val="007D6FB0"/>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03F1"/>
    <w:rsid w:val="008A75F5"/>
    <w:rsid w:val="008B0EDD"/>
    <w:rsid w:val="008B29FD"/>
    <w:rsid w:val="008C2847"/>
    <w:rsid w:val="008C401C"/>
    <w:rsid w:val="008C5D4A"/>
    <w:rsid w:val="008C6F26"/>
    <w:rsid w:val="008D1E3D"/>
    <w:rsid w:val="008D204C"/>
    <w:rsid w:val="008D2DCA"/>
    <w:rsid w:val="008D3CB5"/>
    <w:rsid w:val="008E6C5E"/>
    <w:rsid w:val="008F33A6"/>
    <w:rsid w:val="008F3C23"/>
    <w:rsid w:val="008F4E77"/>
    <w:rsid w:val="008F6BC3"/>
    <w:rsid w:val="00900D5A"/>
    <w:rsid w:val="00907D24"/>
    <w:rsid w:val="00907D63"/>
    <w:rsid w:val="00912C4D"/>
    <w:rsid w:val="00913A7A"/>
    <w:rsid w:val="0091760C"/>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7430A"/>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868D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411EA"/>
    <w:rsid w:val="00F41905"/>
    <w:rsid w:val="00F53598"/>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57F7"/>
    <w:rsid w:val="00FB74C7"/>
    <w:rsid w:val="00FC04FF"/>
    <w:rsid w:val="00FC5718"/>
    <w:rsid w:val="00FD6C2C"/>
    <w:rsid w:val="00FE35BD"/>
    <w:rsid w:val="00FE46ED"/>
    <w:rsid w:val="00FE77FC"/>
    <w:rsid w:val="08541067"/>
    <w:rsid w:val="1272FD06"/>
    <w:rsid w:val="2B3939DD"/>
    <w:rsid w:val="40BBA472"/>
    <w:rsid w:val="4947A461"/>
    <w:rsid w:val="4A39BC2C"/>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3705</Words>
  <Characters>21124</Characters>
  <Application>Microsoft Office Word</Application>
  <DocSecurity>0</DocSecurity>
  <Lines>176</Lines>
  <Paragraphs>49</Paragraphs>
  <ScaleCrop>false</ScaleCrop>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14</cp:revision>
  <cp:lastPrinted>2023-05-12T13:49:00Z</cp:lastPrinted>
  <dcterms:created xsi:type="dcterms:W3CDTF">2025-05-15T08:05:00Z</dcterms:created>
  <dcterms:modified xsi:type="dcterms:W3CDTF">2025-05-19T10:32:00Z</dcterms:modified>
</cp:coreProperties>
</file>