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3E293A36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54535A" w:rsidRPr="0054535A">
              <w:rPr>
                <w:rFonts w:ascii="Arial" w:hAnsi="Arial" w:cs="Arial"/>
                <w:highlight w:val="yellow"/>
              </w:rPr>
              <w:t>.....................................................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0DDA32C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AA674C" w:rsidRPr="00AA674C">
        <w:rPr>
          <w:rFonts w:ascii="Arial" w:hAnsi="Arial" w:cs="Arial"/>
          <w:b/>
        </w:rPr>
        <w:t>Geodetické služby pre OZ Tatry - výzva č. 4/2025 (</w:t>
      </w:r>
      <w:proofErr w:type="spellStart"/>
      <w:r w:rsidR="00AA674C" w:rsidRPr="00AA674C">
        <w:rPr>
          <w:rFonts w:ascii="Arial" w:hAnsi="Arial" w:cs="Arial"/>
          <w:b/>
        </w:rPr>
        <w:t>K.ú</w:t>
      </w:r>
      <w:proofErr w:type="spellEnd"/>
      <w:r w:rsidR="00AA674C" w:rsidRPr="00AA674C">
        <w:rPr>
          <w:rFonts w:ascii="Arial" w:hAnsi="Arial" w:cs="Arial"/>
          <w:b/>
        </w:rPr>
        <w:t>. Východná)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CFE4CF3" w14:textId="1CED32D3" w:rsidR="002724D6" w:rsidRPr="0079022F" w:rsidRDefault="00AA674C" w:rsidP="006C568C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A674C">
        <w:rPr>
          <w:rFonts w:ascii="Arial" w:hAnsi="Arial" w:cs="Arial"/>
          <w:b/>
        </w:rPr>
        <w:t xml:space="preserve">Vyhotovenie geometrického plánu pre Katastrálne územie Východná (okres Liptovský Mikuláš), LV 1039 - odčlenenie častí parcely KN-C 10148/8 pod bývalými stavbami podľa priloženého náčrtu </w:t>
      </w:r>
      <w:r w:rsidR="00F43503" w:rsidRPr="00F43503">
        <w:rPr>
          <w:rFonts w:ascii="Arial" w:hAnsi="Arial" w:cs="Arial"/>
          <w:b/>
        </w:rPr>
        <w:t xml:space="preserve">(príloha č. </w:t>
      </w:r>
      <w:r w:rsidR="00F43503">
        <w:rPr>
          <w:rFonts w:ascii="Arial" w:hAnsi="Arial" w:cs="Arial"/>
          <w:b/>
        </w:rPr>
        <w:t>1</w:t>
      </w:r>
      <w:r w:rsidR="00F43503" w:rsidRPr="00F43503">
        <w:rPr>
          <w:rFonts w:ascii="Arial" w:hAnsi="Arial" w:cs="Arial"/>
          <w:b/>
        </w:rPr>
        <w:t xml:space="preserve"> </w:t>
      </w:r>
      <w:r w:rsidR="00F43503">
        <w:rPr>
          <w:rFonts w:ascii="Arial" w:hAnsi="Arial" w:cs="Arial"/>
          <w:b/>
        </w:rPr>
        <w:t>zmluvy</w:t>
      </w:r>
      <w:r w:rsidR="00CD229D">
        <w:rPr>
          <w:rFonts w:ascii="Arial" w:hAnsi="Arial" w:cs="Arial"/>
          <w:b/>
        </w:rPr>
        <w:t>)</w:t>
      </w:r>
      <w:r w:rsidR="00F43503" w:rsidRPr="00F43503">
        <w:rPr>
          <w:rFonts w:ascii="Arial" w:hAnsi="Arial" w:cs="Arial"/>
          <w:b/>
        </w:rPr>
        <w:t xml:space="preserve"> </w:t>
      </w:r>
      <w:r w:rsidR="006B27D6" w:rsidRPr="006B27D6">
        <w:rPr>
          <w:rFonts w:ascii="Arial" w:hAnsi="Arial" w:cs="Arial"/>
          <w:b/>
        </w:rPr>
        <w:t>( 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10213" w14:textId="77777777" w:rsidR="001672CF" w:rsidRDefault="001672CF" w:rsidP="0094772E">
      <w:r>
        <w:separator/>
      </w:r>
    </w:p>
  </w:endnote>
  <w:endnote w:type="continuationSeparator" w:id="0">
    <w:p w14:paraId="4758858C" w14:textId="77777777" w:rsidR="001672CF" w:rsidRDefault="001672CF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2738" w14:textId="77777777" w:rsidR="001672CF" w:rsidRDefault="001672CF" w:rsidP="0094772E">
      <w:r>
        <w:separator/>
      </w:r>
    </w:p>
  </w:footnote>
  <w:footnote w:type="continuationSeparator" w:id="0">
    <w:p w14:paraId="15C4813B" w14:textId="77777777" w:rsidR="001672CF" w:rsidRDefault="001672CF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A037F3"/>
    <w:rsid w:val="00A32E8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80E8A"/>
    <w:rsid w:val="00CA4D04"/>
    <w:rsid w:val="00CB0255"/>
    <w:rsid w:val="00CD229D"/>
    <w:rsid w:val="00CD455E"/>
    <w:rsid w:val="00D001C9"/>
    <w:rsid w:val="00D66661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5D3D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C451-9E59-46B6-886E-76ED326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39</cp:revision>
  <cp:lastPrinted>2023-08-17T08:20:00Z</cp:lastPrinted>
  <dcterms:created xsi:type="dcterms:W3CDTF">2024-04-17T07:34:00Z</dcterms:created>
  <dcterms:modified xsi:type="dcterms:W3CDTF">2025-05-22T09:35:00Z</dcterms:modified>
</cp:coreProperties>
</file>