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FA33" w14:textId="77777777" w:rsidR="003A5D7A" w:rsidRPr="002B65C4" w:rsidRDefault="003A5D7A" w:rsidP="003A5D7A">
      <w:pPr>
        <w:pStyle w:val="Nadpis1"/>
        <w:ind w:left="720" w:hanging="360"/>
        <w:rPr>
          <w:lang w:val="cs-CZ"/>
        </w:rPr>
      </w:pPr>
      <w:bookmarkStart w:id="0" w:name="_Toc190291639"/>
      <w:r w:rsidRPr="002B65C4">
        <w:rPr>
          <w:lang w:val="cs-CZ"/>
        </w:rPr>
        <w:t>Příloha č. 5 – Technická specifikace</w:t>
      </w:r>
      <w:bookmarkEnd w:id="0"/>
    </w:p>
    <w:p w14:paraId="5A90A8EB" w14:textId="77777777" w:rsidR="00682EF1" w:rsidRPr="004C140E" w:rsidRDefault="00682EF1" w:rsidP="00682EF1">
      <w:pPr>
        <w:pStyle w:val="ZKLADN"/>
        <w:spacing w:after="240" w:line="320" w:lineRule="atLeas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Veřejná zakázka </w:t>
      </w:r>
      <w:r w:rsidRPr="004C140E">
        <w:rPr>
          <w:rFonts w:asciiTheme="minorHAnsi" w:hAnsiTheme="minorHAnsi" w:cstheme="minorHAnsi"/>
          <w:b/>
          <w:bCs/>
          <w:sz w:val="22"/>
          <w:szCs w:val="22"/>
          <w:lang w:val="cs-CZ"/>
        </w:rPr>
        <w:t>„Rozvoj služeb eGovernmentu města Pelhřimov“</w:t>
      </w:r>
    </w:p>
    <w:p w14:paraId="6FD96AB3" w14:textId="44BF0911" w:rsidR="002B65C4" w:rsidRPr="002B65C4" w:rsidRDefault="002B65C4" w:rsidP="002B65C4">
      <w:pPr>
        <w:jc w:val="center"/>
        <w:rPr>
          <w:b/>
          <w:bCs/>
          <w:lang w:val="cs-CZ"/>
        </w:rPr>
      </w:pPr>
      <w:r w:rsidRPr="002B65C4">
        <w:rPr>
          <w:b/>
          <w:bCs/>
          <w:lang w:val="cs-CZ"/>
        </w:rPr>
        <w:t>Část A</w:t>
      </w:r>
      <w:r w:rsidRPr="002B65C4">
        <w:rPr>
          <w:b/>
          <w:bCs/>
          <w:lang w:val="cs-CZ"/>
        </w:rPr>
        <w:tab/>
        <w:t>Dodávka systému samoobslužné bezhotovostní úhrady závazků</w:t>
      </w:r>
    </w:p>
    <w:p w14:paraId="71EB5B74" w14:textId="1CCD9D46" w:rsidR="002B65C4" w:rsidRPr="00753576" w:rsidRDefault="00753576" w:rsidP="00753576">
      <w:pPr>
        <w:rPr>
          <w:lang w:val="cs-CZ"/>
        </w:rPr>
      </w:pPr>
      <w:r w:rsidRPr="00753576">
        <w:rPr>
          <w:lang w:val="cs-CZ"/>
        </w:rPr>
        <w:t xml:space="preserve">Dodavatel této částí je povinen v rámci předmětu </w:t>
      </w:r>
      <w:r>
        <w:rPr>
          <w:lang w:val="cs-CZ"/>
        </w:rPr>
        <w:t xml:space="preserve">plnění </w:t>
      </w:r>
      <w:r w:rsidRPr="00753576">
        <w:rPr>
          <w:lang w:val="cs-CZ"/>
        </w:rPr>
        <w:t>spolupracovat a poskytovat součinnost s dodavateli částí B a C na zajištění kompatibility a integrace svých řešení do jednoho funkčního celku.</w:t>
      </w:r>
    </w:p>
    <w:p w14:paraId="5470382A" w14:textId="77777777" w:rsidR="003A5D7A" w:rsidRPr="002B65C4" w:rsidRDefault="003A5D7A" w:rsidP="003A5D7A">
      <w:pPr>
        <w:pStyle w:val="Nadpis2"/>
        <w:rPr>
          <w:lang w:val="cs-CZ"/>
        </w:rPr>
      </w:pPr>
      <w:r w:rsidRPr="002B65C4">
        <w:rPr>
          <w:lang w:val="cs-CZ"/>
        </w:rPr>
        <w:t xml:space="preserve">Umístění a stavební připravenost </w:t>
      </w:r>
    </w:p>
    <w:p w14:paraId="70278197" w14:textId="77777777" w:rsidR="003A5D7A" w:rsidRPr="002B65C4" w:rsidRDefault="003A5D7A" w:rsidP="003A5D7A">
      <w:pPr>
        <w:pStyle w:val="StylStylodstavecslovanCalibri11bern"/>
        <w:numPr>
          <w:ilvl w:val="0"/>
          <w:numId w:val="0"/>
        </w:numPr>
        <w:rPr>
          <w:szCs w:val="22"/>
        </w:rPr>
      </w:pPr>
      <w:r w:rsidRPr="002B65C4">
        <w:rPr>
          <w:szCs w:val="22"/>
        </w:rPr>
        <w:t xml:space="preserve">Poplatkové automaty budou umístěny v budovách Městského úřadu Pelhřimov, Požadujeme robustní, samostatně stojící, zařízení s pevným ukotvením, které bude možné instalovat volně v prostoru, nebo ke stěně. Přístup ke všem ovládacím prvkům pro klienty a pro obsluhu bude z přední části. </w:t>
      </w:r>
    </w:p>
    <w:p w14:paraId="36A371FF" w14:textId="77777777" w:rsidR="003A5D7A" w:rsidRPr="002B65C4" w:rsidRDefault="003A5D7A" w:rsidP="003A5D7A">
      <w:pPr>
        <w:pStyle w:val="StylStylodstavecslovanCalibri11bern"/>
        <w:numPr>
          <w:ilvl w:val="0"/>
          <w:numId w:val="0"/>
        </w:numPr>
        <w:rPr>
          <w:szCs w:val="22"/>
        </w:rPr>
      </w:pPr>
      <w:r w:rsidRPr="002B65C4">
        <w:rPr>
          <w:szCs w:val="22"/>
        </w:rPr>
        <w:t xml:space="preserve">V místě pro poplatkový automat je připravena zásuvka </w:t>
      </w:r>
      <w:proofErr w:type="gramStart"/>
      <w:r w:rsidRPr="002B65C4">
        <w:rPr>
          <w:szCs w:val="22"/>
        </w:rPr>
        <w:t>230V</w:t>
      </w:r>
      <w:proofErr w:type="gramEnd"/>
      <w:r w:rsidRPr="002B65C4">
        <w:rPr>
          <w:szCs w:val="22"/>
        </w:rPr>
        <w:t xml:space="preserve"> a zásuvka LAN (není součástí dodávky).</w:t>
      </w:r>
    </w:p>
    <w:p w14:paraId="37590C18" w14:textId="77777777" w:rsidR="003A5D7A" w:rsidRPr="002B65C4" w:rsidRDefault="003A5D7A" w:rsidP="003A5D7A">
      <w:pPr>
        <w:pStyle w:val="Nadpis2"/>
        <w:rPr>
          <w:lang w:val="cs-CZ"/>
        </w:rPr>
      </w:pPr>
      <w:r w:rsidRPr="002B65C4">
        <w:rPr>
          <w:lang w:val="cs-CZ"/>
        </w:rPr>
        <w:t xml:space="preserve">Požadavky na HW Platebního kiosku </w:t>
      </w:r>
    </w:p>
    <w:p w14:paraId="6E31C0FE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napájení: </w:t>
      </w:r>
      <w:proofErr w:type="gramStart"/>
      <w:r w:rsidRPr="002B65C4">
        <w:rPr>
          <w:szCs w:val="22"/>
        </w:rPr>
        <w:t>230V</w:t>
      </w:r>
      <w:proofErr w:type="gramEnd"/>
      <w:r w:rsidRPr="002B65C4">
        <w:rPr>
          <w:szCs w:val="22"/>
        </w:rPr>
        <w:t xml:space="preserve"> / </w:t>
      </w:r>
      <w:proofErr w:type="gramStart"/>
      <w:r w:rsidRPr="002B65C4">
        <w:rPr>
          <w:szCs w:val="22"/>
        </w:rPr>
        <w:t>50Hz</w:t>
      </w:r>
      <w:proofErr w:type="gramEnd"/>
      <w:r w:rsidRPr="002B65C4">
        <w:rPr>
          <w:szCs w:val="22"/>
        </w:rPr>
        <w:t xml:space="preserve"> AC </w:t>
      </w:r>
    </w:p>
    <w:p w14:paraId="05C5CD08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integrovaný náhradní zdroj </w:t>
      </w:r>
    </w:p>
    <w:p w14:paraId="10577005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konektivita: LAN/MAN/WAN, Ethernet RJ-45, 1Gb/s </w:t>
      </w:r>
    </w:p>
    <w:p w14:paraId="05712791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celokovová konstrukce </w:t>
      </w:r>
    </w:p>
    <w:p w14:paraId="61079E8B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nástěnné nebo samostatně stojící provedení </w:t>
      </w:r>
    </w:p>
    <w:p w14:paraId="7C5A3586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uzamykatelné tělo pokladny </w:t>
      </w:r>
    </w:p>
    <w:p w14:paraId="2BC45FA0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>přístup ke všem prvkům z přední části</w:t>
      </w:r>
    </w:p>
    <w:p w14:paraId="2795400A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19“ FullHD doteková ovládací obrazovka v provedení </w:t>
      </w:r>
      <w:proofErr w:type="spellStart"/>
      <w:r w:rsidRPr="002B65C4">
        <w:rPr>
          <w:szCs w:val="22"/>
        </w:rPr>
        <w:t>antivandal</w:t>
      </w:r>
      <w:proofErr w:type="spellEnd"/>
      <w:r w:rsidRPr="002B65C4">
        <w:rPr>
          <w:szCs w:val="22"/>
        </w:rPr>
        <w:t xml:space="preserve"> </w:t>
      </w:r>
    </w:p>
    <w:p w14:paraId="23C67AFA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integrovaná čtečka čárových EAN a QR kódů </w:t>
      </w:r>
    </w:p>
    <w:p w14:paraId="10689D45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integrovaná čtečka RFID čipových karet </w:t>
      </w:r>
    </w:p>
    <w:p w14:paraId="18660861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integrovaná čtečka bankovních karet </w:t>
      </w:r>
    </w:p>
    <w:p w14:paraId="1D5C4071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integrovaná čtečka bezkontaktních NFC bankovních karet </w:t>
      </w:r>
    </w:p>
    <w:p w14:paraId="7720E24C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integrovaný GSM modul </w:t>
      </w:r>
    </w:p>
    <w:p w14:paraId="4396871A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integrovaná termo tiskárna lístků s ořezávačem </w:t>
      </w:r>
    </w:p>
    <w:p w14:paraId="00C9D647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lastRenderedPageBreak/>
        <w:t>integrovaný náhradní zdroj UPS – určený pro korektní dokončení transakce a standardní ukončení činnosti automatu v případě výpadku napájení. Zároveň slouží k tomu, aby případné výkyvy napájení eliminovali negativní dopad na neuzavřené bezhotovostní transakce.</w:t>
      </w:r>
    </w:p>
    <w:p w14:paraId="5A2E0F7F" w14:textId="77777777" w:rsidR="003A5D7A" w:rsidRPr="002B65C4" w:rsidRDefault="003A5D7A" w:rsidP="003A5D7A">
      <w:pPr>
        <w:pStyle w:val="Nadpis2"/>
        <w:rPr>
          <w:lang w:val="cs-CZ"/>
        </w:rPr>
      </w:pPr>
      <w:r w:rsidRPr="002B65C4">
        <w:rPr>
          <w:lang w:val="cs-CZ"/>
        </w:rPr>
        <w:t xml:space="preserve">Požadavky na SW Platebního kiosku </w:t>
      </w:r>
    </w:p>
    <w:p w14:paraId="341573B3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je řízen výkonným PC s diskovým prostorem dostačujícím k bezproblémovému provozu a dalšímu rozšíření funkčních vlastností. </w:t>
      </w:r>
    </w:p>
    <w:p w14:paraId="360462EF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zabezpečuje dokončení nebo storno platby a korektní vypnutí kiosku při výpadku síťového napájení. Po obnovení napájení toto detekuje a je-li napájení nepřetržité alespoň 20s pokladna se samostatně uvede do plného provozu. </w:t>
      </w:r>
    </w:p>
    <w:p w14:paraId="61543A8C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průběžně sleduje všechna napájecí napětí a teplotu uvnitř kiosku. V případě odchylky hodnot od normálu ukládá záznam o chybě a ukončuje činnost. </w:t>
      </w:r>
    </w:p>
    <w:p w14:paraId="7756F0E3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průběžně sleduje stavy čidel. Při výpadku komunikace nebo vyhodnocení nekorektního stavu ukládá záznam o chybě a zastavuje provoz. </w:t>
      </w:r>
    </w:p>
    <w:p w14:paraId="5D64211C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zaznamenává a uchovává otevření dveří automatu. </w:t>
      </w:r>
    </w:p>
    <w:p w14:paraId="655717B2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zabezpečení kiosku autorizačním kódem obsluhy. Není-li tento zadán, je spuštěn zvukový alarm, nebo jinak bezprostředně upozorňuje provozovatele na neoprávněný přístup. </w:t>
      </w:r>
    </w:p>
    <w:p w14:paraId="5934F06A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řídící SW platebního kiosku je otevřeného řešení a umožní realizace specifických zákaznických požadavků, a to i během provozu zařízení (při dodání není specifický požadavek). </w:t>
      </w:r>
    </w:p>
    <w:p w14:paraId="5EF7E9CC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umožní realizaci komunikace a součinnosti s ekonomickým systémem. </w:t>
      </w:r>
    </w:p>
    <w:p w14:paraId="67D12866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umožňuje vzdálený přístup a správu pro provozovatele i pro servisní zásahy prodejce. </w:t>
      </w:r>
    </w:p>
    <w:p w14:paraId="5E07C378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umožňuje konfiguraci obsahu a délky tištěných lístků. </w:t>
      </w:r>
    </w:p>
    <w:p w14:paraId="6AE2BA71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umožňuje tisk a výdej dvoj lístků; originál a kopie plateb. </w:t>
      </w:r>
    </w:p>
    <w:p w14:paraId="171777D1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přenos účetní uzávěrky přes síť LAN/MAN/WAN </w:t>
      </w:r>
    </w:p>
    <w:p w14:paraId="7A5C3CA7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součástí řešení čtečka dokladů umožňující automatizované načtení údajů o osobě plátce </w:t>
      </w:r>
    </w:p>
    <w:p w14:paraId="3F8FC78E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umožňuje evidenci vybraných poplatků </w:t>
      </w:r>
    </w:p>
    <w:p w14:paraId="09E77A37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>umožňuje uchovávat digitální kopii každého tisknutého dokladu</w:t>
      </w:r>
    </w:p>
    <w:p w14:paraId="10484B7A" w14:textId="77777777" w:rsidR="003A5D7A" w:rsidRPr="002B65C4" w:rsidRDefault="003A5D7A" w:rsidP="003A5D7A">
      <w:pPr>
        <w:pStyle w:val="Nadpis2"/>
        <w:rPr>
          <w:lang w:val="cs-CZ"/>
        </w:rPr>
      </w:pPr>
      <w:r w:rsidRPr="002B65C4">
        <w:rPr>
          <w:lang w:val="cs-CZ"/>
        </w:rPr>
        <w:t xml:space="preserve">Specifické požadavky </w:t>
      </w:r>
    </w:p>
    <w:p w14:paraId="40844357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poplatkový automat poskytne komunikaci s Helios </w:t>
      </w:r>
      <w:proofErr w:type="spellStart"/>
      <w:r w:rsidRPr="002B65C4">
        <w:rPr>
          <w:szCs w:val="22"/>
        </w:rPr>
        <w:t>Fenix</w:t>
      </w:r>
      <w:proofErr w:type="spellEnd"/>
      <w:r w:rsidRPr="002B65C4">
        <w:rPr>
          <w:szCs w:val="22"/>
        </w:rPr>
        <w:t xml:space="preserve">, dodavatel </w:t>
      </w:r>
      <w:proofErr w:type="spellStart"/>
      <w:r w:rsidRPr="002B65C4">
        <w:rPr>
          <w:szCs w:val="22"/>
        </w:rPr>
        <w:t>Asseco</w:t>
      </w:r>
      <w:proofErr w:type="spellEnd"/>
      <w:r w:rsidRPr="002B65C4">
        <w:rPr>
          <w:szCs w:val="22"/>
        </w:rPr>
        <w:t xml:space="preserve"> Czech Republic a.s. přes příslušný komunikační modul „Rozhraní na platební automat“ (jeho pořízení a nasazení je součástí dodávky).</w:t>
      </w:r>
    </w:p>
    <w:p w14:paraId="2D18270A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poplatkový automat umožní komunikaci s Portálem občana města, dodavatel </w:t>
      </w:r>
      <w:r w:rsidRPr="002B65C4">
        <w:rPr>
          <w:rFonts w:cs="Arial"/>
          <w:szCs w:val="22"/>
        </w:rPr>
        <w:t>DATRON, a.s.</w:t>
      </w:r>
      <w:r w:rsidRPr="002B65C4">
        <w:rPr>
          <w:szCs w:val="22"/>
        </w:rPr>
        <w:t>, včetně využití jeho elektronické identity ověřené prostřednictvím NIA.</w:t>
      </w:r>
    </w:p>
    <w:p w14:paraId="129E7A96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po provedení bezhotovostní platby přenos informace o zaplacení správního i místního </w:t>
      </w:r>
      <w:r w:rsidRPr="002B65C4">
        <w:rPr>
          <w:szCs w:val="22"/>
        </w:rPr>
        <w:lastRenderedPageBreak/>
        <w:t>poplatku do ekonomického systému a místního poplatku také do portálu občana.</w:t>
      </w:r>
    </w:p>
    <w:p w14:paraId="64D178B3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>Poplatkový automat musí přijímat platby na bankovní účty Zadavatele a poskytne komunikační interface s bankovním POS terminálem.</w:t>
      </w:r>
    </w:p>
    <w:p w14:paraId="53104B4F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rPr>
          <w:szCs w:val="22"/>
        </w:rPr>
      </w:pPr>
      <w:r w:rsidRPr="002B65C4">
        <w:rPr>
          <w:szCs w:val="22"/>
        </w:rPr>
        <w:t xml:space="preserve">Zadavatel má založené tři (3) účty u České spořitelny a.s. První účet je určen pouze pro plátce komunálního odpadu. Druhý účet slouží pro platby pokut za přestupky, poplatky za psy a všechny další správní poplatky. </w:t>
      </w:r>
      <w:r w:rsidRPr="002B65C4">
        <w:rPr>
          <w:i/>
          <w:iCs/>
          <w:szCs w:val="22"/>
        </w:rPr>
        <w:t>Třetí účet pokrývá platby z tzv. podnikatelské činnosti, což je převážně nájemné z městských bytů.</w:t>
      </w:r>
      <w:r w:rsidRPr="002B65C4">
        <w:rPr>
          <w:szCs w:val="22"/>
        </w:rPr>
        <w:t xml:space="preserve"> Automat bude rozlišovat platby dle dokladu pro občana. Dokladem může být platební výměr, výzva k zaplacení pohledávky, složenka, či kartička s QR kódem. Doklad bude vždy obsahovat číslo účtu, částku a variabilní symbol definovaný v ekonomickém systému Helios </w:t>
      </w:r>
      <w:proofErr w:type="spellStart"/>
      <w:r w:rsidRPr="002B65C4">
        <w:rPr>
          <w:szCs w:val="22"/>
        </w:rPr>
        <w:t>Fenix</w:t>
      </w:r>
      <w:proofErr w:type="spellEnd"/>
      <w:r w:rsidRPr="002B65C4">
        <w:rPr>
          <w:szCs w:val="22"/>
        </w:rPr>
        <w:t xml:space="preserve">. Dohledání a identifikace platby bude vždy přes variabilní symbol. Párování plateb, kde je nutná identifikace plátce bude probíhat v modulu POH (pohledávky) ekonomického systému Helios </w:t>
      </w:r>
      <w:proofErr w:type="spellStart"/>
      <w:r w:rsidRPr="002B65C4">
        <w:rPr>
          <w:szCs w:val="22"/>
        </w:rPr>
        <w:t>Fenix</w:t>
      </w:r>
      <w:proofErr w:type="spellEnd"/>
      <w:r w:rsidRPr="002B65C4">
        <w:rPr>
          <w:szCs w:val="22"/>
        </w:rPr>
        <w:t xml:space="preserve">. Poplatkový automat musí kontrolovat oprávněnost platby a zaznamenávat údaje o platbě. Součinnost. Dodavatel se musí napojit na standardní rozhraní systému Helios </w:t>
      </w:r>
      <w:proofErr w:type="spellStart"/>
      <w:r w:rsidRPr="002B65C4">
        <w:rPr>
          <w:szCs w:val="22"/>
        </w:rPr>
        <w:t>Fenix</w:t>
      </w:r>
      <w:proofErr w:type="spellEnd"/>
      <w:r w:rsidRPr="002B65C4">
        <w:rPr>
          <w:szCs w:val="22"/>
        </w:rPr>
        <w:t>.</w:t>
      </w:r>
    </w:p>
    <w:p w14:paraId="3325FF33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rPr>
          <w:szCs w:val="22"/>
        </w:rPr>
      </w:pPr>
      <w:r w:rsidRPr="002B65C4">
        <w:rPr>
          <w:szCs w:val="22"/>
        </w:rPr>
        <w:t xml:space="preserve">Výchozím jazykem Poplatkového automatu pro komunikaci s klientem bude Český jazyk, s možností přepnutí na anglickou mutaci. </w:t>
      </w:r>
    </w:p>
    <w:p w14:paraId="53BC17C6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line="240" w:lineRule="auto"/>
        <w:rPr>
          <w:szCs w:val="22"/>
        </w:rPr>
      </w:pPr>
      <w:r w:rsidRPr="002B65C4">
        <w:rPr>
          <w:szCs w:val="22"/>
        </w:rPr>
        <w:t>Poplatkový automat bude provádět pravidelné ekonomické závěrky na každý účet (přehled kolik bylo vybráno prostředků na každém účtu).</w:t>
      </w:r>
    </w:p>
    <w:p w14:paraId="71E8F55F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rPr>
          <w:szCs w:val="22"/>
        </w:rPr>
      </w:pPr>
      <w:r w:rsidRPr="002B65C4">
        <w:rPr>
          <w:szCs w:val="22"/>
        </w:rPr>
        <w:t>Poplatkový automat bude ukládat Hlášení systému o jednotlivých možných chybách.</w:t>
      </w:r>
    </w:p>
    <w:p w14:paraId="111A33AD" w14:textId="77777777" w:rsidR="003A5D7A" w:rsidRPr="002B65C4" w:rsidRDefault="003A5D7A" w:rsidP="003A5D7A">
      <w:pPr>
        <w:pStyle w:val="Nadpis2"/>
        <w:rPr>
          <w:lang w:val="cs-CZ"/>
        </w:rPr>
      </w:pPr>
      <w:r w:rsidRPr="002B65C4">
        <w:rPr>
          <w:lang w:val="cs-CZ"/>
        </w:rPr>
        <w:t xml:space="preserve">Požadavky na servisní služby </w:t>
      </w:r>
    </w:p>
    <w:p w14:paraId="353D388F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Záruka na poplatkový automat je požadována v min. délce 24 měsíců. Záruční doba na spotřební díly a díly podléhající opotřebení běžným užíváním min. 6 měsíců. </w:t>
      </w:r>
    </w:p>
    <w:p w14:paraId="08AF8F15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Požadavek na prodlouženou záruku 5 let. </w:t>
      </w:r>
    </w:p>
    <w:p w14:paraId="5210D6E5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Provádění pravidelných profylaxí 1 x za 6 měsíců. Servisní profylaktické prohlídky zahrnují práci a dopravu na místo plnění. </w:t>
      </w:r>
    </w:p>
    <w:p w14:paraId="6B10E6DB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 xml:space="preserve">Mimozáruční a pozáruční servisní práce bude možné čerpat na základě předložené aktuální nabídky nebo podle platných ceníků vybraného dodavatele. </w:t>
      </w:r>
    </w:p>
    <w:p w14:paraId="02754D55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>Po dobu záruční lhůty požadujeme uzavření SLA (</w:t>
      </w:r>
      <w:proofErr w:type="spellStart"/>
      <w:r w:rsidRPr="002B65C4">
        <w:rPr>
          <w:szCs w:val="22"/>
        </w:rPr>
        <w:t>Service</w:t>
      </w:r>
      <w:proofErr w:type="spellEnd"/>
      <w:r w:rsidRPr="002B65C4">
        <w:rPr>
          <w:szCs w:val="22"/>
        </w:rPr>
        <w:t xml:space="preserve"> Level </w:t>
      </w:r>
      <w:proofErr w:type="spellStart"/>
      <w:r w:rsidRPr="002B65C4">
        <w:rPr>
          <w:szCs w:val="22"/>
        </w:rPr>
        <w:t>Agreement</w:t>
      </w:r>
      <w:proofErr w:type="spellEnd"/>
      <w:r w:rsidRPr="002B65C4">
        <w:rPr>
          <w:szCs w:val="22"/>
        </w:rPr>
        <w:t xml:space="preserve">) s rozšířenými garancí opravy do 10 pracovních dní v běžné pracovní době. </w:t>
      </w:r>
    </w:p>
    <w:p w14:paraId="69246D66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>Při předání dodávky požadujeme doložit prohlášení výrobce, že dodávaná zařízení jsou registrována pro město Pelhřimov jako koncového zákazníka, a že byla dodána prostřednictvím oficiálního distributora či autorizovaného dodavatele v České republice.</w:t>
      </w:r>
    </w:p>
    <w:p w14:paraId="3585D2C0" w14:textId="77777777" w:rsidR="003A5D7A" w:rsidRPr="002B65C4" w:rsidRDefault="003A5D7A" w:rsidP="003A5D7A">
      <w:pPr>
        <w:pStyle w:val="StylStylodstavecslovanCalibri11bern"/>
        <w:numPr>
          <w:ilvl w:val="0"/>
          <w:numId w:val="3"/>
        </w:numPr>
        <w:spacing w:before="0" w:line="240" w:lineRule="auto"/>
        <w:ind w:left="714" w:hanging="357"/>
        <w:rPr>
          <w:szCs w:val="22"/>
        </w:rPr>
      </w:pPr>
      <w:r w:rsidRPr="002B65C4">
        <w:rPr>
          <w:szCs w:val="22"/>
        </w:rPr>
        <w:t>Poplatkový automat bude splňovat veškeré závazné technické normy, certifikace a standardy Evropské unie pro provoz elektronických zařízení.</w:t>
      </w:r>
    </w:p>
    <w:p w14:paraId="69F2E16B" w14:textId="21BBAD77" w:rsidR="003A5D7A" w:rsidRPr="00881718" w:rsidRDefault="003A5D7A" w:rsidP="003A5D7A">
      <w:pPr>
        <w:spacing w:after="0" w:line="240" w:lineRule="auto"/>
        <w:rPr>
          <w:rFonts w:eastAsia="Times New Roman"/>
          <w:color w:val="000000"/>
          <w:sz w:val="22"/>
          <w:szCs w:val="22"/>
          <w:lang w:val="cs-CZ" w:eastAsia="cs-CZ"/>
        </w:rPr>
      </w:pPr>
    </w:p>
    <w:sectPr w:rsidR="003A5D7A" w:rsidRPr="00881718" w:rsidSect="0075357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9ED3" w14:textId="77777777" w:rsidR="00D93CB4" w:rsidRDefault="00D93CB4">
      <w:pPr>
        <w:spacing w:after="0" w:line="240" w:lineRule="auto"/>
      </w:pPr>
      <w:r>
        <w:separator/>
      </w:r>
    </w:p>
  </w:endnote>
  <w:endnote w:type="continuationSeparator" w:id="0">
    <w:p w14:paraId="6F34C86E" w14:textId="77777777" w:rsidR="00D93CB4" w:rsidRDefault="00D9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1C97" w14:textId="77777777" w:rsidR="00E94C51" w:rsidRPr="00B926BF" w:rsidRDefault="00D47F7F" w:rsidP="00B926BF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25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31</w:t>
    </w:r>
    <w:r w:rsidRPr="00B926BF">
      <w:rPr>
        <w:lang w:val="cs-CZ"/>
      </w:rPr>
      <w:fldChar w:fldCharType="end"/>
    </w:r>
  </w:p>
  <w:p w14:paraId="75E7B4B4" w14:textId="77777777" w:rsidR="00E94C51" w:rsidRDefault="00E94C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3EE9" w14:textId="77777777" w:rsidR="00BD291E" w:rsidRPr="00B926BF" w:rsidRDefault="00BD291E" w:rsidP="00BD291E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lang w:val="cs-CZ"/>
      </w:rPr>
      <w:t>2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lang w:val="cs-CZ"/>
      </w:rPr>
      <w:t>4</w:t>
    </w:r>
    <w:r w:rsidRPr="00B926BF">
      <w:rPr>
        <w:lang w:val="cs-CZ"/>
      </w:rPr>
      <w:fldChar w:fldCharType="end"/>
    </w:r>
  </w:p>
  <w:p w14:paraId="7A60119E" w14:textId="77777777" w:rsidR="00BD291E" w:rsidRDefault="00BD29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2CA0" w14:textId="77777777" w:rsidR="00D93CB4" w:rsidRDefault="00D93CB4">
      <w:pPr>
        <w:spacing w:after="0" w:line="240" w:lineRule="auto"/>
      </w:pPr>
      <w:r>
        <w:separator/>
      </w:r>
    </w:p>
  </w:footnote>
  <w:footnote w:type="continuationSeparator" w:id="0">
    <w:p w14:paraId="7351947C" w14:textId="77777777" w:rsidR="00D93CB4" w:rsidRDefault="00D9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9D74" w14:textId="12F7EB76" w:rsidR="00E94C51" w:rsidRDefault="00D47F7F" w:rsidP="00753576">
    <w:pPr>
      <w:pStyle w:val="Zhlav"/>
    </w:pPr>
    <w:r>
      <w:rPr>
        <w:noProof/>
        <w:lang w:val="cs-CZ" w:eastAsia="cs-CZ"/>
        <w14:ligatures w14:val="standardContextual"/>
      </w:rPr>
      <w:drawing>
        <wp:inline distT="0" distB="0" distL="0" distR="0" wp14:anchorId="00744B5D" wp14:editId="7F232A28">
          <wp:extent cx="5486400" cy="661670"/>
          <wp:effectExtent l="0" t="0" r="0" b="5080"/>
          <wp:docPr id="19365159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515979" name="Obrázek 1936515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3242" w14:textId="77777777" w:rsidR="00E94C51" w:rsidRDefault="00D47F7F">
    <w:pPr>
      <w:pStyle w:val="Zhlav"/>
    </w:pPr>
    <w:r w:rsidRPr="00203F5F">
      <w:rPr>
        <w:noProof/>
        <w:lang w:val="cs-CZ" w:eastAsia="cs-CZ"/>
      </w:rPr>
      <w:drawing>
        <wp:inline distT="0" distB="0" distL="0" distR="0" wp14:anchorId="482623E1" wp14:editId="7A3B5B88">
          <wp:extent cx="5543550" cy="7620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E6285A"/>
    <w:multiLevelType w:val="hybridMultilevel"/>
    <w:tmpl w:val="91BAF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670D9"/>
    <w:multiLevelType w:val="hybridMultilevel"/>
    <w:tmpl w:val="FAE00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54D0F"/>
    <w:multiLevelType w:val="hybridMultilevel"/>
    <w:tmpl w:val="0AE08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63E"/>
    <w:multiLevelType w:val="hybridMultilevel"/>
    <w:tmpl w:val="32901F96"/>
    <w:lvl w:ilvl="0" w:tplc="4DECD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F642B"/>
    <w:multiLevelType w:val="hybridMultilevel"/>
    <w:tmpl w:val="397EF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8739">
    <w:abstractNumId w:val="0"/>
  </w:num>
  <w:num w:numId="2" w16cid:durableId="2071268029">
    <w:abstractNumId w:val="3"/>
  </w:num>
  <w:num w:numId="3" w16cid:durableId="402525996">
    <w:abstractNumId w:val="2"/>
  </w:num>
  <w:num w:numId="4" w16cid:durableId="1744402391">
    <w:abstractNumId w:val="1"/>
  </w:num>
  <w:num w:numId="5" w16cid:durableId="598297106">
    <w:abstractNumId w:val="5"/>
  </w:num>
  <w:num w:numId="6" w16cid:durableId="940336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7A"/>
    <w:rsid w:val="0020449B"/>
    <w:rsid w:val="00242D1F"/>
    <w:rsid w:val="002B65C4"/>
    <w:rsid w:val="003A5D7A"/>
    <w:rsid w:val="0040597E"/>
    <w:rsid w:val="00406589"/>
    <w:rsid w:val="00491303"/>
    <w:rsid w:val="004F2C2D"/>
    <w:rsid w:val="00682EF1"/>
    <w:rsid w:val="00753576"/>
    <w:rsid w:val="008843E3"/>
    <w:rsid w:val="00885517"/>
    <w:rsid w:val="00A9290D"/>
    <w:rsid w:val="00BD291E"/>
    <w:rsid w:val="00C721CE"/>
    <w:rsid w:val="00D47F7F"/>
    <w:rsid w:val="00D84BF8"/>
    <w:rsid w:val="00D93CB4"/>
    <w:rsid w:val="00DA7DF1"/>
    <w:rsid w:val="00DC0325"/>
    <w:rsid w:val="00E60A64"/>
    <w:rsid w:val="00E94C51"/>
    <w:rsid w:val="00E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16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D7A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A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14b B"/>
    <w:basedOn w:val="Normln"/>
    <w:next w:val="Normln"/>
    <w:link w:val="Nadpis2Char"/>
    <w:unhideWhenUsed/>
    <w:qFormat/>
    <w:rsid w:val="003A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3A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nhideWhenUsed/>
    <w:qFormat/>
    <w:rsid w:val="003A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3A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3A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3A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3A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aliases w:val="H9,h9,heading9,App Heading"/>
    <w:basedOn w:val="Normln"/>
    <w:next w:val="Normln"/>
    <w:link w:val="Nadpis9Char"/>
    <w:unhideWhenUsed/>
    <w:qFormat/>
    <w:rsid w:val="003A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14b B Char"/>
    <w:basedOn w:val="Standardnpsmoodstavce"/>
    <w:link w:val="Nadpis2"/>
    <w:rsid w:val="003A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"/>
    <w:semiHidden/>
    <w:rsid w:val="003A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semiHidden/>
    <w:rsid w:val="003A5D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3A5D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H6 Char"/>
    <w:basedOn w:val="Standardnpsmoodstavce"/>
    <w:link w:val="Nadpis6"/>
    <w:uiPriority w:val="9"/>
    <w:semiHidden/>
    <w:rsid w:val="003A5D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H7 Char"/>
    <w:basedOn w:val="Standardnpsmoodstavce"/>
    <w:link w:val="Nadpis7"/>
    <w:uiPriority w:val="9"/>
    <w:semiHidden/>
    <w:rsid w:val="003A5D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aliases w:val="H8 Char"/>
    <w:basedOn w:val="Standardnpsmoodstavce"/>
    <w:link w:val="Nadpis8"/>
    <w:uiPriority w:val="9"/>
    <w:semiHidden/>
    <w:rsid w:val="003A5D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uiPriority w:val="9"/>
    <w:semiHidden/>
    <w:rsid w:val="003A5D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5D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5D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5D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5D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5D7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customStyle="1" w:styleId="ZKLADN">
    <w:name w:val="ZÁKLADNÍ"/>
    <w:basedOn w:val="Zkladntext"/>
    <w:link w:val="ZKLADNChar"/>
    <w:rsid w:val="003A5D7A"/>
    <w:pPr>
      <w:widowControl w:val="0"/>
      <w:spacing w:before="120" w:line="280" w:lineRule="atLeast"/>
      <w:jc w:val="both"/>
    </w:pPr>
    <w:rPr>
      <w:rFonts w:ascii="Garamond" w:eastAsia="Times New Roman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3A5D7A"/>
    <w:rPr>
      <w:rFonts w:ascii="Garamond" w:eastAsia="Times New Roman" w:hAnsi="Garamond" w:cs="Times New Roman"/>
      <w:kern w:val="0"/>
      <w:sz w:val="24"/>
      <w:szCs w:val="20"/>
      <w:lang w:val="x-none" w:eastAsia="x-none"/>
      <w14:ligatures w14:val="none"/>
    </w:rPr>
  </w:style>
  <w:style w:type="paragraph" w:customStyle="1" w:styleId="StylStylodstavecslovanCalibri11bern">
    <w:name w:val="Styl Styl odstavec číslovaný + Calibri 11 b. Černá"/>
    <w:basedOn w:val="Normln"/>
    <w:rsid w:val="003A5D7A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character" w:styleId="Hypertextovodkaz">
    <w:name w:val="Hyperlink"/>
    <w:uiPriority w:val="99"/>
    <w:rsid w:val="003A5D7A"/>
    <w:rPr>
      <w:rFonts w:ascii="Calibri" w:hAnsi="Calibri"/>
      <w:color w:val="000000"/>
      <w:sz w:val="22"/>
      <w:u w:val="none"/>
    </w:rPr>
  </w:style>
  <w:style w:type="table" w:styleId="Mkatabulky">
    <w:name w:val="Table Grid"/>
    <w:basedOn w:val="Normlntabulka"/>
    <w:rsid w:val="003A5D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D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5D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Revize">
    <w:name w:val="Revision"/>
    <w:hidden/>
    <w:uiPriority w:val="99"/>
    <w:semiHidden/>
    <w:rsid w:val="00D47F7F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2025-05-19T20:02:00Z</dcterms:created>
  <dcterms:modified xsi:type="dcterms:W3CDTF">2025-05-19T20:02:00Z</dcterms:modified>
</cp:coreProperties>
</file>