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FC293" w14:textId="09B40C43" w:rsidR="00D02C4C" w:rsidRPr="003458ED" w:rsidRDefault="00D02C4C" w:rsidP="003458ED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3458ED">
        <w:rPr>
          <w:rFonts w:ascii="Calibri" w:hAnsi="Calibri" w:cs="Calibri"/>
          <w:b/>
          <w:bCs/>
          <w:sz w:val="22"/>
          <w:szCs w:val="22"/>
        </w:rPr>
        <w:t>P</w:t>
      </w:r>
      <w:r w:rsidR="003458ED">
        <w:rPr>
          <w:rFonts w:ascii="Calibri" w:hAnsi="Calibri" w:cs="Calibri"/>
          <w:b/>
          <w:bCs/>
          <w:sz w:val="22"/>
          <w:szCs w:val="22"/>
        </w:rPr>
        <w:t>RÍLOHA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č. </w:t>
      </w:r>
      <w:r w:rsidR="00F50C56" w:rsidRPr="003458ED">
        <w:rPr>
          <w:rFonts w:ascii="Calibri" w:hAnsi="Calibri" w:cs="Calibri"/>
          <w:b/>
          <w:bCs/>
          <w:sz w:val="22"/>
          <w:szCs w:val="22"/>
        </w:rPr>
        <w:t>9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8ED">
        <w:rPr>
          <w:rFonts w:ascii="Calibri" w:hAnsi="Calibri" w:cs="Calibri"/>
          <w:b/>
          <w:bCs/>
          <w:sz w:val="22"/>
          <w:szCs w:val="22"/>
        </w:rPr>
        <w:t>SÚŤAŽNÝCH PODKLADOV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8ED">
        <w:rPr>
          <w:rFonts w:ascii="Calibri" w:hAnsi="Calibri" w:cs="Calibri"/>
          <w:b/>
          <w:bCs/>
          <w:sz w:val="22"/>
          <w:szCs w:val="22"/>
        </w:rPr>
        <w:t>–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8ED">
        <w:rPr>
          <w:rFonts w:ascii="Calibri" w:hAnsi="Calibri" w:cs="Calibri"/>
          <w:b/>
          <w:bCs/>
          <w:sz w:val="22"/>
          <w:szCs w:val="22"/>
        </w:rPr>
        <w:t>ODÔVODNENIE NEROZDELENIA PREDMETU ZÁKAZKY</w:t>
      </w:r>
    </w:p>
    <w:p w14:paraId="507835C7" w14:textId="77777777" w:rsidR="00D02C4C" w:rsidRPr="003458ED" w:rsidRDefault="00D02C4C" w:rsidP="009F0BD8">
      <w:pPr>
        <w:spacing w:after="120"/>
        <w:rPr>
          <w:rFonts w:ascii="Calibri" w:hAnsi="Calibri" w:cs="Calibri"/>
          <w:b/>
          <w:sz w:val="22"/>
          <w:szCs w:val="22"/>
          <w:u w:val="single"/>
        </w:rPr>
      </w:pPr>
    </w:p>
    <w:p w14:paraId="2EB3EBDC" w14:textId="77777777" w:rsidR="00D02C4C" w:rsidRPr="003458ED" w:rsidRDefault="00D02C4C" w:rsidP="009F0BD8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3458ED">
        <w:rPr>
          <w:rFonts w:ascii="Calibri" w:hAnsi="Calibri" w:cs="Calibri"/>
          <w:b/>
          <w:sz w:val="22"/>
          <w:szCs w:val="22"/>
        </w:rPr>
        <w:t>Odôvodnenie nerozdelenia predmetu zákazky</w:t>
      </w:r>
    </w:p>
    <w:p w14:paraId="476C2539" w14:textId="0AF50E54" w:rsidR="00D02C4C" w:rsidRPr="003458ED" w:rsidRDefault="00D02C4C" w:rsidP="009F0BD8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3458ED">
        <w:rPr>
          <w:rFonts w:ascii="Calibri" w:hAnsi="Calibri" w:cs="Calibri"/>
          <w:sz w:val="22"/>
          <w:szCs w:val="22"/>
        </w:rPr>
        <w:t>podľa § 28 ods. 2 zákona č. 343/2015 Z. z. o verejnom obstarávaní a o zmene a doplnení niektorých zákonov v znení neskorších predpisov (ďalej len „</w:t>
      </w:r>
      <w:r w:rsidR="00175765">
        <w:rPr>
          <w:rFonts w:ascii="Calibri" w:hAnsi="Calibri" w:cs="Calibri"/>
          <w:b/>
          <w:bCs/>
          <w:sz w:val="22"/>
          <w:szCs w:val="22"/>
        </w:rPr>
        <w:t>ZVO</w:t>
      </w:r>
      <w:r w:rsidRPr="003458ED">
        <w:rPr>
          <w:rFonts w:ascii="Calibri" w:hAnsi="Calibri" w:cs="Calibri"/>
          <w:sz w:val="22"/>
          <w:szCs w:val="22"/>
        </w:rPr>
        <w:t>“)</w:t>
      </w:r>
    </w:p>
    <w:p w14:paraId="1ADCCE6E" w14:textId="77777777" w:rsidR="00D02C4C" w:rsidRPr="003458ED" w:rsidRDefault="00D02C4C" w:rsidP="009F0BD8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23E819D2" w14:textId="77777777" w:rsidR="00D02C4C" w:rsidRPr="003458ED" w:rsidRDefault="00D02C4C" w:rsidP="009F0BD8">
      <w:pPr>
        <w:pStyle w:val="Odsekzoznamu"/>
        <w:spacing w:after="120" w:line="240" w:lineRule="auto"/>
        <w:ind w:left="0"/>
        <w:jc w:val="both"/>
        <w:rPr>
          <w:b/>
        </w:rPr>
      </w:pPr>
      <w:r w:rsidRPr="003458ED">
        <w:rPr>
          <w:b/>
        </w:rPr>
        <w:t>Identifikácia verejného obstarávateľa:</w:t>
      </w:r>
    </w:p>
    <w:p w14:paraId="7FEFE691" w14:textId="77777777" w:rsidR="00941867" w:rsidRPr="00941867" w:rsidRDefault="00941867" w:rsidP="00941867">
      <w:pPr>
        <w:pStyle w:val="Strednmrieka1zvraznenie21"/>
        <w:ind w:left="0" w:right="74"/>
        <w:rPr>
          <w:rFonts w:ascii="Calibri" w:hAnsi="Calibri" w:cs="Calibri"/>
          <w:b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Názov:</w:t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b/>
          <w:sz w:val="22"/>
          <w:szCs w:val="22"/>
        </w:rPr>
        <w:t>Ministerstvo dopravy Slovenskej republiky</w:t>
      </w:r>
    </w:p>
    <w:p w14:paraId="316D4668" w14:textId="77777777" w:rsidR="00941867" w:rsidRPr="00941867" w:rsidRDefault="00941867" w:rsidP="00941867">
      <w:pPr>
        <w:pStyle w:val="Strednmrieka1zvraznenie21"/>
        <w:ind w:left="0" w:right="74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Sídlo:</w:t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  <w:t>Námestie slobody č. 6, 810 05 Bratislava</w:t>
      </w:r>
    </w:p>
    <w:p w14:paraId="4832D5D4" w14:textId="430EB822" w:rsidR="00941867" w:rsidRPr="00941867" w:rsidRDefault="00941867" w:rsidP="00941867">
      <w:pPr>
        <w:rPr>
          <w:rFonts w:ascii="Calibri" w:hAnsi="Calibri" w:cs="Calibri"/>
          <w:sz w:val="22"/>
          <w:szCs w:val="22"/>
          <w:lang w:eastAsia="sk-SK"/>
        </w:rPr>
      </w:pPr>
      <w:r w:rsidRPr="00941867">
        <w:rPr>
          <w:rFonts w:ascii="Calibri" w:hAnsi="Calibri" w:cs="Calibri"/>
          <w:sz w:val="22"/>
          <w:szCs w:val="22"/>
          <w:lang w:eastAsia="sk-SK"/>
        </w:rPr>
        <w:t xml:space="preserve">IČO: </w:t>
      </w:r>
      <w:r w:rsidRPr="00941867">
        <w:rPr>
          <w:rFonts w:ascii="Calibri" w:hAnsi="Calibri" w:cs="Calibri"/>
          <w:sz w:val="22"/>
          <w:szCs w:val="22"/>
          <w:lang w:eastAsia="sk-SK"/>
        </w:rPr>
        <w:tab/>
      </w:r>
      <w:r w:rsidRPr="00941867">
        <w:rPr>
          <w:rFonts w:ascii="Calibri" w:hAnsi="Calibri" w:cs="Calibri"/>
          <w:sz w:val="22"/>
          <w:szCs w:val="22"/>
          <w:lang w:eastAsia="sk-SK"/>
        </w:rPr>
        <w:tab/>
      </w:r>
      <w:r w:rsidRPr="00941867">
        <w:rPr>
          <w:rFonts w:ascii="Calibri" w:hAnsi="Calibri" w:cs="Calibri"/>
          <w:sz w:val="22"/>
          <w:szCs w:val="22"/>
          <w:lang w:eastAsia="sk-SK"/>
        </w:rPr>
        <w:tab/>
        <w:t>30 416</w:t>
      </w:r>
      <w:r w:rsidRPr="00941867">
        <w:rPr>
          <w:rFonts w:ascii="Calibri" w:hAnsi="Calibri" w:cs="Calibri"/>
          <w:sz w:val="22"/>
          <w:szCs w:val="22"/>
          <w:lang w:eastAsia="sk-SK"/>
        </w:rPr>
        <w:t> </w:t>
      </w:r>
      <w:r w:rsidRPr="00941867">
        <w:rPr>
          <w:rFonts w:ascii="Calibri" w:hAnsi="Calibri" w:cs="Calibri"/>
          <w:sz w:val="22"/>
          <w:szCs w:val="22"/>
          <w:lang w:eastAsia="sk-SK"/>
        </w:rPr>
        <w:t>094</w:t>
      </w:r>
    </w:p>
    <w:p w14:paraId="5509B2D0" w14:textId="08D6ACF1" w:rsidR="00CB4855" w:rsidRDefault="00CB4855" w:rsidP="00CB4855">
      <w:pPr>
        <w:pStyle w:val="Zkladntext"/>
        <w:spacing w:after="0"/>
        <w:ind w:left="2127" w:hanging="2127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Pr="00014DC8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Komplexné poskytovanie poradenských služieb súvisiacich s prípravou a realizáciou PPP projektov pre dopravnú infraštruktúru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701DA822" w14:textId="77777777" w:rsidR="00CB4855" w:rsidRDefault="00CB4855" w:rsidP="00CB4855">
      <w:pPr>
        <w:pStyle w:val="Zkladntext"/>
        <w:spacing w:after="0"/>
        <w:ind w:left="2127" w:hanging="2127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14DC8">
        <w:rPr>
          <w:rFonts w:ascii="Calibri" w:hAnsi="Calibri" w:cs="Calibri"/>
          <w:color w:val="000000"/>
          <w:sz w:val="22"/>
          <w:szCs w:val="22"/>
          <w:highlight w:val="yellow"/>
        </w:rPr>
        <w:t>DD</w:t>
      </w:r>
      <w:r>
        <w:rPr>
          <w:rFonts w:ascii="Calibri" w:hAnsi="Calibri" w:cs="Calibri"/>
          <w:color w:val="000000"/>
          <w:sz w:val="22"/>
          <w:szCs w:val="22"/>
        </w:rPr>
        <w:t>.07.2025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OJ S </w:t>
      </w:r>
      <w:r w:rsidRPr="00014DC8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 w:rsidRPr="00836707">
        <w:rPr>
          <w:rFonts w:ascii="Calibri" w:hAnsi="Calibri" w:cs="Calibri"/>
          <w:color w:val="000000"/>
          <w:sz w:val="22"/>
          <w:szCs w:val="22"/>
        </w:rPr>
        <w:t>/202</w:t>
      </w:r>
      <w:r>
        <w:rPr>
          <w:rFonts w:ascii="Calibri" w:hAnsi="Calibri" w:cs="Calibri"/>
          <w:color w:val="000000"/>
          <w:sz w:val="22"/>
          <w:szCs w:val="22"/>
        </w:rPr>
        <w:t xml:space="preserve">5 pod číslom </w:t>
      </w:r>
      <w:r w:rsidRPr="00014DC8">
        <w:rPr>
          <w:rFonts w:ascii="Calibri" w:hAnsi="Calibri" w:cs="Calibri"/>
          <w:color w:val="000000"/>
          <w:sz w:val="22"/>
          <w:szCs w:val="22"/>
          <w:highlight w:val="yellow"/>
        </w:rPr>
        <w:t>XXXXXX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0B22BA33" w14:textId="2989950C" w:rsidR="00D02C4C" w:rsidRPr="003458ED" w:rsidRDefault="00D02C4C" w:rsidP="009F0BD8">
      <w:pPr>
        <w:pStyle w:val="Odsekzoznamu"/>
        <w:spacing w:after="120" w:line="240" w:lineRule="auto"/>
        <w:ind w:left="0"/>
        <w:jc w:val="both"/>
        <w:rPr>
          <w:b/>
        </w:rPr>
      </w:pPr>
      <w:r w:rsidRPr="003458ED">
        <w:rPr>
          <w:b/>
        </w:rPr>
        <w:t xml:space="preserve">Predmet </w:t>
      </w:r>
      <w:r w:rsidR="009A7AC0" w:rsidRPr="003458ED">
        <w:rPr>
          <w:b/>
        </w:rPr>
        <w:t>Z</w:t>
      </w:r>
      <w:r w:rsidRPr="003458ED">
        <w:rPr>
          <w:b/>
        </w:rPr>
        <w:t>ákazky</w:t>
      </w:r>
    </w:p>
    <w:p w14:paraId="45056772" w14:textId="543BD57E" w:rsidR="00C93A03" w:rsidRPr="003458ED" w:rsidRDefault="00C93A03" w:rsidP="009F0BD8">
      <w:pPr>
        <w:tabs>
          <w:tab w:val="left" w:pos="567"/>
          <w:tab w:val="left" w:pos="993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3458ED">
        <w:rPr>
          <w:rFonts w:ascii="Calibri" w:hAnsi="Calibri" w:cs="Calibri"/>
          <w:sz w:val="22"/>
          <w:szCs w:val="22"/>
        </w:rPr>
        <w:t xml:space="preserve">Predmetom </w:t>
      </w:r>
      <w:r w:rsidR="005F4441" w:rsidRPr="003458ED">
        <w:rPr>
          <w:rFonts w:ascii="Calibri" w:hAnsi="Calibri" w:cs="Calibri"/>
          <w:sz w:val="22"/>
          <w:szCs w:val="22"/>
        </w:rPr>
        <w:t>z</w:t>
      </w:r>
      <w:r w:rsidRPr="003458ED">
        <w:rPr>
          <w:rFonts w:ascii="Calibri" w:hAnsi="Calibri" w:cs="Calibri"/>
          <w:sz w:val="22"/>
          <w:szCs w:val="22"/>
        </w:rPr>
        <w:t>ákazky</w:t>
      </w:r>
      <w:r w:rsidR="005F4441" w:rsidRPr="003458ED">
        <w:rPr>
          <w:rFonts w:ascii="Calibri" w:hAnsi="Calibri" w:cs="Calibri"/>
          <w:sz w:val="22"/>
          <w:szCs w:val="22"/>
        </w:rPr>
        <w:t xml:space="preserve"> </w:t>
      </w:r>
      <w:r w:rsidR="00941867" w:rsidRPr="00941867">
        <w:rPr>
          <w:rFonts w:ascii="Calibri" w:hAnsi="Calibri" w:cs="Calibri"/>
          <w:sz w:val="22"/>
          <w:szCs w:val="22"/>
        </w:rPr>
        <w:t xml:space="preserve">je </w:t>
      </w:r>
      <w:r w:rsidR="00941867">
        <w:rPr>
          <w:rFonts w:ascii="Calibri" w:hAnsi="Calibri" w:cs="Calibri"/>
          <w:sz w:val="22"/>
          <w:szCs w:val="22"/>
        </w:rPr>
        <w:t>k</w:t>
      </w:r>
      <w:r w:rsidR="00941867" w:rsidRPr="00941867">
        <w:rPr>
          <w:rFonts w:ascii="Calibri" w:hAnsi="Calibri" w:cs="Calibri"/>
          <w:sz w:val="22"/>
          <w:szCs w:val="22"/>
        </w:rPr>
        <w:t>omplexné poskytovanie poradenských služieb súvisiacich s prípravou a realizáciou PPP projektov pre dopravnú infraštruktúru</w:t>
      </w:r>
      <w:r w:rsidR="00D42877" w:rsidRPr="003458ED">
        <w:rPr>
          <w:rFonts w:ascii="Calibri" w:hAnsi="Calibri" w:cs="Calibri"/>
          <w:sz w:val="22"/>
          <w:szCs w:val="22"/>
        </w:rPr>
        <w:t xml:space="preserve"> (ďalej len ,,</w:t>
      </w:r>
      <w:r w:rsidR="00D42877" w:rsidRPr="003458ED">
        <w:rPr>
          <w:rFonts w:ascii="Calibri" w:hAnsi="Calibri" w:cs="Calibri"/>
          <w:b/>
          <w:bCs/>
          <w:sz w:val="22"/>
          <w:szCs w:val="22"/>
        </w:rPr>
        <w:t>predmet zákazky</w:t>
      </w:r>
      <w:r w:rsidR="00D42877" w:rsidRPr="003458ED">
        <w:rPr>
          <w:rFonts w:ascii="Calibri" w:hAnsi="Calibri" w:cs="Calibri"/>
          <w:sz w:val="22"/>
          <w:szCs w:val="22"/>
        </w:rPr>
        <w:t>“).</w:t>
      </w:r>
    </w:p>
    <w:p w14:paraId="37AF8462" w14:textId="77777777" w:rsidR="00C93A03" w:rsidRPr="003458ED" w:rsidRDefault="00C93A03" w:rsidP="009F0BD8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63766F6D" w14:textId="77777777" w:rsidR="0052108C" w:rsidRPr="003458ED" w:rsidRDefault="00C93A03" w:rsidP="009F0BD8">
      <w:pPr>
        <w:spacing w:after="120"/>
        <w:rPr>
          <w:rFonts w:ascii="Calibri" w:hAnsi="Calibri" w:cs="Calibri"/>
          <w:b/>
          <w:sz w:val="22"/>
          <w:szCs w:val="22"/>
        </w:rPr>
      </w:pPr>
      <w:r w:rsidRPr="003458ED">
        <w:rPr>
          <w:rFonts w:ascii="Calibri" w:hAnsi="Calibri" w:cs="Calibri"/>
          <w:b/>
          <w:sz w:val="22"/>
          <w:szCs w:val="22"/>
        </w:rPr>
        <w:t>Odôvodnenie</w:t>
      </w:r>
    </w:p>
    <w:p w14:paraId="2AD41E91" w14:textId="332E4174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 xml:space="preserve">Verejný obstarávateľ sa pred samotným vyhlásením verejnej súťaže zaoberal aj spôsobom obstarania z pohľadu zákonnej možnosti, nie </w:t>
      </w:r>
      <w:r>
        <w:rPr>
          <w:rFonts w:ascii="Calibri" w:hAnsi="Calibri" w:cs="Calibri"/>
          <w:sz w:val="22"/>
          <w:szCs w:val="22"/>
        </w:rPr>
        <w:t>povinnosti, podľa § 28 ods. 1 Z</w:t>
      </w:r>
      <w:r w:rsidRPr="00941867">
        <w:rPr>
          <w:rFonts w:ascii="Calibri" w:hAnsi="Calibri" w:cs="Calibri"/>
          <w:sz w:val="22"/>
          <w:szCs w:val="22"/>
        </w:rPr>
        <w:t>VO delenia predmetu zákazky na časti, resp. viaceré verejné obstarávania.</w:t>
      </w:r>
    </w:p>
    <w:p w14:paraId="26A55EF1" w14:textId="77777777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 xml:space="preserve">Verejný obstarávateľ sa zaoberal </w:t>
      </w:r>
      <w:proofErr w:type="spellStart"/>
      <w:r w:rsidRPr="00941867">
        <w:rPr>
          <w:rFonts w:ascii="Calibri" w:hAnsi="Calibri" w:cs="Calibri"/>
          <w:sz w:val="22"/>
          <w:szCs w:val="22"/>
        </w:rPr>
        <w:t>ne</w:t>
      </w:r>
      <w:proofErr w:type="spellEnd"/>
      <w:r w:rsidRPr="00941867">
        <w:rPr>
          <w:rFonts w:ascii="Calibri" w:hAnsi="Calibri" w:cs="Calibri"/>
          <w:sz w:val="22"/>
          <w:szCs w:val="22"/>
        </w:rPr>
        <w:t xml:space="preserve">/možnosťou rozdelenia predmetu zákazky na časti. Podľa preambuly smernice Európskeho parlamentu a Rady 2014/24/EÚ z 26. februára 2014 o verejnom obstarávaní a o zrušení smernice 2004/18/ES (Ú. v. EÚ L 94, 28.3.2014) cit.: </w:t>
      </w:r>
      <w:r w:rsidRPr="00941867">
        <w:rPr>
          <w:rFonts w:ascii="Calibri" w:hAnsi="Calibri" w:cs="Calibri"/>
          <w:i/>
          <w:sz w:val="22"/>
          <w:szCs w:val="22"/>
        </w:rPr>
        <w:t>„Verejný obstarávateľ by mal byť povinný zvážiť vhodnosť rozdelenia zákaziek na časti, pričom naďalej by mal mať možnosť samostatne rozhodovať na základe akéhokoľvek dôvodu, ktorý považuje za relevantný, a to bez toho, aby podliehal administratívnemu alebo justičnému dohľadu“</w:t>
      </w:r>
      <w:r w:rsidRPr="00941867">
        <w:rPr>
          <w:rFonts w:ascii="Calibri" w:hAnsi="Calibri" w:cs="Calibri"/>
          <w:sz w:val="22"/>
          <w:szCs w:val="22"/>
        </w:rPr>
        <w:t>.</w:t>
      </w:r>
    </w:p>
    <w:p w14:paraId="31381B38" w14:textId="1A9DCC66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 xml:space="preserve">V zmysle Metodického dokumentu </w:t>
      </w:r>
      <w:r>
        <w:rPr>
          <w:rFonts w:ascii="Calibri" w:hAnsi="Calibri" w:cs="Calibri"/>
          <w:sz w:val="22"/>
          <w:szCs w:val="22"/>
        </w:rPr>
        <w:t>Ministerstva financií Slovenskej republiky (ďalej len „</w:t>
      </w:r>
      <w:r w:rsidRPr="00941867">
        <w:rPr>
          <w:rFonts w:ascii="Calibri" w:hAnsi="Calibri" w:cs="Calibri"/>
          <w:b/>
          <w:sz w:val="22"/>
          <w:szCs w:val="22"/>
        </w:rPr>
        <w:t>MF SR</w:t>
      </w:r>
      <w:r>
        <w:rPr>
          <w:rFonts w:ascii="Calibri" w:hAnsi="Calibri" w:cs="Calibri"/>
          <w:sz w:val="22"/>
          <w:szCs w:val="22"/>
        </w:rPr>
        <w:t>“)</w:t>
      </w:r>
      <w:r w:rsidRPr="00941867">
        <w:rPr>
          <w:rFonts w:ascii="Calibri" w:hAnsi="Calibri" w:cs="Calibri"/>
          <w:sz w:val="22"/>
          <w:szCs w:val="22"/>
        </w:rPr>
        <w:t xml:space="preserve"> „Kódex riadenia prípravy a realizácie PPP projektu“ sú poradcovia (právni, finanční a technickí) esenciálnou súčasťou projektového tímu zadávateľa koncesie (zadávateľ je povinný ho vytvoriť), ktorého cieľom je v prvej fáze zabezpečiť vypracovanie štúdie uskutočniteľnosti a s tým súvisiace poradenské služby a následne pripraviť dokumentáciu pre verejné obstarávanie koncesionára.</w:t>
      </w:r>
    </w:p>
    <w:p w14:paraId="5078FAC0" w14:textId="2B65CD6F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Vo všeobecnosti je teda možné identifikovať dve fázy poskytovania poradenských služieb</w:t>
      </w:r>
      <w:r w:rsidR="006A1337">
        <w:rPr>
          <w:rFonts w:ascii="Calibri" w:hAnsi="Calibri" w:cs="Calibri"/>
          <w:sz w:val="22"/>
          <w:szCs w:val="22"/>
        </w:rPr>
        <w:t xml:space="preserve"> definovaných v predmete zákazky</w:t>
      </w:r>
      <w:r w:rsidRPr="00941867">
        <w:rPr>
          <w:rFonts w:ascii="Calibri" w:hAnsi="Calibri" w:cs="Calibri"/>
          <w:sz w:val="22"/>
          <w:szCs w:val="22"/>
        </w:rPr>
        <w:t>:</w:t>
      </w:r>
    </w:p>
    <w:p w14:paraId="4E47064C" w14:textId="4BF3439E" w:rsidR="00941867" w:rsidRPr="00941867" w:rsidRDefault="00941867" w:rsidP="00941867">
      <w:pPr>
        <w:pStyle w:val="Odsekzoznamu"/>
        <w:numPr>
          <w:ilvl w:val="0"/>
          <w:numId w:val="4"/>
        </w:numPr>
        <w:spacing w:after="120"/>
        <w:ind w:left="284" w:hanging="284"/>
        <w:jc w:val="both"/>
      </w:pPr>
      <w:r w:rsidRPr="00941867">
        <w:t xml:space="preserve">Poskytovanie poradenských služieb pri vypracovaní a samotné </w:t>
      </w:r>
      <w:r>
        <w:t xml:space="preserve">vypracovanie </w:t>
      </w:r>
      <w:r w:rsidRPr="00941867">
        <w:t xml:space="preserve">projektového zámeru pre Objednávateľom určené PPP projekty v súlade s metodickými dokumentmi </w:t>
      </w:r>
      <w:r>
        <w:t>MF</w:t>
      </w:r>
      <w:r w:rsidRPr="00941867">
        <w:t xml:space="preserve"> </w:t>
      </w:r>
      <w:r>
        <w:t>SR</w:t>
      </w:r>
      <w:r w:rsidRPr="00941867">
        <w:t xml:space="preserve"> </w:t>
      </w:r>
      <w:r w:rsidRPr="00941867">
        <w:t>(1. etapa)</w:t>
      </w:r>
      <w:r w:rsidR="006A1337">
        <w:t>,</w:t>
      </w:r>
    </w:p>
    <w:p w14:paraId="15C96289" w14:textId="21C6C6E4" w:rsidR="00941867" w:rsidRPr="00941867" w:rsidRDefault="00941867" w:rsidP="00941867">
      <w:pPr>
        <w:pStyle w:val="Odsekzoznamu"/>
        <w:numPr>
          <w:ilvl w:val="0"/>
          <w:numId w:val="4"/>
        </w:numPr>
        <w:spacing w:after="120"/>
        <w:ind w:left="284" w:hanging="284"/>
        <w:jc w:val="both"/>
      </w:pPr>
      <w:r w:rsidRPr="00941867">
        <w:lastRenderedPageBreak/>
        <w:t>Poskytovanie poradenských služieb pri príprave PPP projektu</w:t>
      </w:r>
      <w:r w:rsidR="00241028">
        <w:t>, ktorý sa má obstarávať</w:t>
      </w:r>
      <w:r w:rsidRPr="00941867">
        <w:t xml:space="preserve">, v procese </w:t>
      </w:r>
      <w:r w:rsidR="00241028">
        <w:t xml:space="preserve">obstarávania </w:t>
      </w:r>
      <w:r w:rsidRPr="00941867">
        <w:t>súkromného partnera a pri uzatváraní samotnej koncesnej zmluvy PPP projektu (2. etapa)</w:t>
      </w:r>
      <w:r w:rsidR="006A1337">
        <w:t>.</w:t>
      </w:r>
    </w:p>
    <w:p w14:paraId="69D5DBD6" w14:textId="77777777" w:rsidR="00941867" w:rsidRPr="0012440E" w:rsidRDefault="00941867" w:rsidP="00941867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r w:rsidRPr="0012440E">
        <w:rPr>
          <w:rFonts w:ascii="Calibri" w:hAnsi="Calibri" w:cs="Calibri"/>
          <w:b/>
          <w:sz w:val="22"/>
          <w:szCs w:val="22"/>
        </w:rPr>
        <w:t xml:space="preserve">1. a 2. etapa sú v procese prípravy PPP projektu verejným obstarávateľom vo veľmi úzkej </w:t>
      </w:r>
      <w:proofErr w:type="spellStart"/>
      <w:r w:rsidRPr="0012440E">
        <w:rPr>
          <w:rFonts w:ascii="Calibri" w:hAnsi="Calibri" w:cs="Calibri"/>
          <w:b/>
          <w:sz w:val="22"/>
          <w:szCs w:val="22"/>
        </w:rPr>
        <w:t>interoperabilite</w:t>
      </w:r>
      <w:proofErr w:type="spellEnd"/>
      <w:r w:rsidRPr="0012440E">
        <w:rPr>
          <w:rFonts w:ascii="Calibri" w:hAnsi="Calibri" w:cs="Calibri"/>
          <w:b/>
          <w:sz w:val="22"/>
          <w:szCs w:val="22"/>
        </w:rPr>
        <w:t xml:space="preserve"> a sú navzájom prepojené vo všetkých relevantných aspektoch, pričom ich vzájomná previazanosť je v rovine právnej, finančnej aj technickej.</w:t>
      </w:r>
    </w:p>
    <w:bookmarkEnd w:id="0"/>
    <w:p w14:paraId="4C5F982D" w14:textId="67B951D3" w:rsidR="00941867" w:rsidRPr="00941867" w:rsidRDefault="00241028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41028">
        <w:rPr>
          <w:rFonts w:ascii="Calibri" w:hAnsi="Calibri" w:cs="Calibri"/>
          <w:sz w:val="22"/>
          <w:szCs w:val="22"/>
          <w:u w:val="single"/>
        </w:rPr>
        <w:t>Obstarávanie oboch etáp</w:t>
      </w:r>
      <w:r w:rsidR="00941867" w:rsidRPr="00241028">
        <w:rPr>
          <w:rFonts w:ascii="Calibri" w:hAnsi="Calibri" w:cs="Calibri"/>
          <w:sz w:val="22"/>
          <w:szCs w:val="22"/>
          <w:u w:val="single"/>
        </w:rPr>
        <w:t xml:space="preserve"> v rámci jedného</w:t>
      </w:r>
      <w:r w:rsidRPr="00241028">
        <w:rPr>
          <w:rFonts w:ascii="Calibri" w:hAnsi="Calibri" w:cs="Calibri"/>
          <w:sz w:val="22"/>
          <w:szCs w:val="22"/>
          <w:u w:val="single"/>
        </w:rPr>
        <w:t xml:space="preserve"> postupu</w:t>
      </w:r>
      <w:r w:rsidR="00941867" w:rsidRPr="0024102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241028">
        <w:rPr>
          <w:rFonts w:ascii="Calibri" w:hAnsi="Calibri" w:cs="Calibri"/>
          <w:sz w:val="22"/>
          <w:szCs w:val="22"/>
          <w:u w:val="single"/>
        </w:rPr>
        <w:t>verejného obstarávania</w:t>
      </w:r>
      <w:r w:rsidR="00941867" w:rsidRPr="0024102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241028">
        <w:rPr>
          <w:rFonts w:ascii="Calibri" w:hAnsi="Calibri" w:cs="Calibri"/>
          <w:b/>
          <w:sz w:val="22"/>
          <w:szCs w:val="22"/>
          <w:u w:val="single"/>
        </w:rPr>
        <w:t>je odporúčané</w:t>
      </w:r>
      <w:r w:rsidR="00941867" w:rsidRPr="00241028">
        <w:rPr>
          <w:rFonts w:ascii="Calibri" w:hAnsi="Calibri" w:cs="Calibri"/>
          <w:sz w:val="22"/>
          <w:szCs w:val="22"/>
          <w:u w:val="single"/>
        </w:rPr>
        <w:t xml:space="preserve"> priamo v Metodických dokumentoch MF SR</w:t>
      </w:r>
      <w:r w:rsidR="00941867" w:rsidRPr="00941867">
        <w:rPr>
          <w:rFonts w:ascii="Calibri" w:hAnsi="Calibri" w:cs="Calibri"/>
          <w:sz w:val="22"/>
          <w:szCs w:val="22"/>
        </w:rPr>
        <w:t xml:space="preserve">, a to konkrétne v dokumente </w:t>
      </w:r>
      <w:r w:rsidR="00941867" w:rsidRPr="00941867">
        <w:rPr>
          <w:rFonts w:ascii="Calibri" w:hAnsi="Calibri" w:cs="Calibri"/>
          <w:i/>
          <w:sz w:val="22"/>
          <w:szCs w:val="22"/>
        </w:rPr>
        <w:t>„Príručka pre výber poradcu pre prípravu a realizáciu PPP projektu“</w:t>
      </w:r>
      <w:r w:rsidR="00941867" w:rsidRPr="00941867">
        <w:rPr>
          <w:rFonts w:ascii="Calibri" w:hAnsi="Calibri" w:cs="Calibri"/>
          <w:sz w:val="22"/>
          <w:szCs w:val="22"/>
        </w:rPr>
        <w:t xml:space="preserve">. V metodickom dokumente </w:t>
      </w:r>
      <w:r w:rsidR="00941867" w:rsidRPr="00941867">
        <w:rPr>
          <w:rFonts w:ascii="Calibri" w:hAnsi="Calibri" w:cs="Calibri"/>
          <w:i/>
          <w:sz w:val="22"/>
          <w:szCs w:val="22"/>
        </w:rPr>
        <w:t>„Postup pri príprave a realizácii PPP projektu a kontrolný proces“</w:t>
      </w:r>
      <w:r w:rsidR="00941867" w:rsidRPr="00941867">
        <w:rPr>
          <w:rFonts w:ascii="Calibri" w:hAnsi="Calibri" w:cs="Calibri"/>
          <w:sz w:val="22"/>
          <w:szCs w:val="22"/>
        </w:rPr>
        <w:t xml:space="preserve"> je stanovené, že optimálny postup obstarania predmetných služieb si zvolí zadávateľ.</w:t>
      </w:r>
    </w:p>
    <w:p w14:paraId="0A5DE4B8" w14:textId="03078B33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 xml:space="preserve">Postup obstarania oboch etáp v jednom verejnom obstarávaní evidujeme aj v rámci pravidiel Svetovej banky a Európskej banky pre obnovu a rozvoj, ktoré neoddeľujú obstarávanie poradcov na dve samostatné etapy. Postup spojenia oboch etáp poradenstva vo fáze prípravy (po </w:t>
      </w:r>
      <w:r w:rsidR="00241028">
        <w:rPr>
          <w:rFonts w:ascii="Calibri" w:hAnsi="Calibri" w:cs="Calibri"/>
          <w:sz w:val="22"/>
          <w:szCs w:val="22"/>
        </w:rPr>
        <w:t>obstaranie</w:t>
      </w:r>
      <w:r w:rsidRPr="00941867">
        <w:rPr>
          <w:rFonts w:ascii="Calibri" w:hAnsi="Calibri" w:cs="Calibri"/>
          <w:sz w:val="22"/>
          <w:szCs w:val="22"/>
        </w:rPr>
        <w:t xml:space="preserve"> koncesionára) je vysoko efektívny</w:t>
      </w:r>
      <w:r>
        <w:rPr>
          <w:rFonts w:ascii="Calibri" w:hAnsi="Calibri" w:cs="Calibri"/>
          <w:sz w:val="22"/>
          <w:szCs w:val="22"/>
        </w:rPr>
        <w:t>, a to</w:t>
      </w:r>
      <w:r w:rsidRPr="00941867">
        <w:rPr>
          <w:rFonts w:ascii="Calibri" w:hAnsi="Calibri" w:cs="Calibri"/>
          <w:sz w:val="22"/>
          <w:szCs w:val="22"/>
        </w:rPr>
        <w:t xml:space="preserve"> najmä s ohľadom na to, že v rámci vypracovania štúdie uskutočniteľnosti poradca </w:t>
      </w:r>
      <w:r w:rsidR="00241028">
        <w:rPr>
          <w:rFonts w:ascii="Calibri" w:hAnsi="Calibri" w:cs="Calibri"/>
          <w:sz w:val="22"/>
          <w:szCs w:val="22"/>
        </w:rPr>
        <w:t>analyzuje</w:t>
      </w:r>
      <w:r w:rsidRPr="00941867">
        <w:rPr>
          <w:rFonts w:ascii="Calibri" w:hAnsi="Calibri" w:cs="Calibri"/>
          <w:sz w:val="22"/>
          <w:szCs w:val="22"/>
        </w:rPr>
        <w:t xml:space="preserve"> enormné množstvo dokumentov, ktoré mu umožňujú projekt spoznať zo všetkých uhlov a identifikovať tie najdôležitejšie riziká, pričom pri vyhodnocovaní jednotlivých posudzovaných variantov spozná široké portfólio vzťahov, či už finančných, technických alebo právnych, ktoré sú pre verejného obstarávateľa z pohľadu poskytovania poradenských služieb od poradcu neoceniteľné v rámci prípravy podkladov pre verejné obstarávanie a výber súkromného partnera. Tieto poznatky následne poradca využíva v ďalších fázach projektu, ak štúdiu schváli vláda SR.</w:t>
      </w:r>
    </w:p>
    <w:p w14:paraId="4F1C2FAC" w14:textId="77777777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Predmetný postup je žiaduci najmä z pohľadu hospodárnosti a efektívnosti vynakladania finančných prostriedkov zo štátneho rozpočtu. V prípade, ak by po vypracovaní štúdie uskutočniteľnosti bolo potrebné zabezpečiť nové verejné obstarávanie na nového poradcu, takýto postup by bol vysoko neefektívny z pohľadu časových strát, ktoré vzniknú v rámci verejného obstarávania a s tým súvisiacich procesov, vrátane revíznych postupov a súčasne by verejný obstarávateľ vynakladal finančné prostriedky nehospodárne, a to v kontexte nevyhnutnosti naštudovania problematiky pripravovaného PPP projektu od počiatku novým poradcom, vrátane naštudovania všetkých podkladov, s ktorými pracoval predchádzajúci poradca pri vypracovávaní štúdie uskutočniteľnosti a samotnej materiálnej stránky štúdie.</w:t>
      </w:r>
    </w:p>
    <w:p w14:paraId="075DC89B" w14:textId="77777777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Rovnaký postup bol úspešne aplikovaný aj v rámci PPP projektu D4R7 a na základe empirických skúseností z tohto projektu vie verejný obstarávateľ s určitosťou potvrdiť, že predmetné bolo vo fáze úspešnej prípravy PPP projektu vysoko efektívne.</w:t>
      </w:r>
    </w:p>
    <w:p w14:paraId="597B72A9" w14:textId="33E5A419" w:rsidR="0066405A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Predmetná problematika bola predmetom prerokovania aj na stretnutí s Najvyšším kontrolným úradom (NKÚ) dňa 17.05.2022, na ktorom verejný obstarávateľ uviedol aj vyššie spomenuté argumenty. Záverom stretnutia bolo, že pokiaľ to Metodické dokumenty MF SR odporúčajú a verejný obstarávateľ predmetné riadne odôvodni, nemá NKÚ k takému postupu námietky.</w:t>
      </w:r>
    </w:p>
    <w:sectPr w:rsidR="0066405A" w:rsidRPr="0094186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0AB8" w14:textId="77777777" w:rsidR="00C15184" w:rsidRDefault="00C15184" w:rsidP="00D02C4C">
      <w:r>
        <w:separator/>
      </w:r>
    </w:p>
  </w:endnote>
  <w:endnote w:type="continuationSeparator" w:id="0">
    <w:p w14:paraId="5FBB1C21" w14:textId="77777777" w:rsidR="00C15184" w:rsidRDefault="00C15184" w:rsidP="00D0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358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7332467" w14:textId="0E90CC0B" w:rsidR="00D82549" w:rsidRPr="00941867" w:rsidRDefault="00D82549">
        <w:pPr>
          <w:pStyle w:val="Pta"/>
          <w:jc w:val="right"/>
          <w:rPr>
            <w:rFonts w:asciiTheme="minorHAnsi" w:hAnsiTheme="minorHAnsi" w:cstheme="minorHAnsi"/>
            <w:sz w:val="20"/>
          </w:rPr>
        </w:pPr>
        <w:r w:rsidRPr="00941867">
          <w:rPr>
            <w:rFonts w:asciiTheme="minorHAnsi" w:hAnsiTheme="minorHAnsi" w:cstheme="minorHAnsi"/>
            <w:sz w:val="20"/>
          </w:rPr>
          <w:fldChar w:fldCharType="begin"/>
        </w:r>
        <w:r w:rsidRPr="00941867">
          <w:rPr>
            <w:rFonts w:asciiTheme="minorHAnsi" w:hAnsiTheme="minorHAnsi" w:cstheme="minorHAnsi"/>
            <w:sz w:val="20"/>
          </w:rPr>
          <w:instrText>PAGE   \* MERGEFORMAT</w:instrText>
        </w:r>
        <w:r w:rsidRPr="00941867">
          <w:rPr>
            <w:rFonts w:asciiTheme="minorHAnsi" w:hAnsiTheme="minorHAnsi" w:cstheme="minorHAnsi"/>
            <w:sz w:val="20"/>
          </w:rPr>
          <w:fldChar w:fldCharType="separate"/>
        </w:r>
        <w:r w:rsidR="0012440E">
          <w:rPr>
            <w:rFonts w:asciiTheme="minorHAnsi" w:hAnsiTheme="minorHAnsi" w:cstheme="minorHAnsi"/>
            <w:noProof/>
            <w:sz w:val="20"/>
          </w:rPr>
          <w:t>2</w:t>
        </w:r>
        <w:r w:rsidRPr="00941867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7FF0989" w14:textId="77777777" w:rsidR="002F76D4" w:rsidRDefault="002F76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85F0A" w14:textId="77777777" w:rsidR="00C15184" w:rsidRDefault="00C15184" w:rsidP="00D02C4C">
      <w:r>
        <w:separator/>
      </w:r>
    </w:p>
  </w:footnote>
  <w:footnote w:type="continuationSeparator" w:id="0">
    <w:p w14:paraId="7729F75E" w14:textId="77777777" w:rsidR="00C15184" w:rsidRDefault="00C15184" w:rsidP="00D0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58D"/>
    <w:multiLevelType w:val="hybridMultilevel"/>
    <w:tmpl w:val="E4AE86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5DA"/>
    <w:multiLevelType w:val="hybridMultilevel"/>
    <w:tmpl w:val="60529A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FE1"/>
    <w:multiLevelType w:val="hybridMultilevel"/>
    <w:tmpl w:val="71FA0DC8"/>
    <w:lvl w:ilvl="0" w:tplc="3A2293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26035"/>
    <w:multiLevelType w:val="hybridMultilevel"/>
    <w:tmpl w:val="660421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07B1A"/>
    <w:multiLevelType w:val="multilevel"/>
    <w:tmpl w:val="BB46E14E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eastAsia="Times New Roman" w:hAnsiTheme="majorHAnsi" w:cs="Times New Roman" w:hint="default"/>
        <w:b/>
        <w:sz w:val="22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Theme="majorHAnsi" w:hAnsiTheme="majorHAnsi" w:cs="Times New Roman" w:hint="default"/>
        <w:b w:val="0"/>
        <w:i w:val="0"/>
        <w:color w:val="000000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DB"/>
    <w:rsid w:val="000066CF"/>
    <w:rsid w:val="00012483"/>
    <w:rsid w:val="000208DB"/>
    <w:rsid w:val="00051172"/>
    <w:rsid w:val="000517EA"/>
    <w:rsid w:val="0006705A"/>
    <w:rsid w:val="00067B71"/>
    <w:rsid w:val="00074060"/>
    <w:rsid w:val="00083036"/>
    <w:rsid w:val="000F44A9"/>
    <w:rsid w:val="001112A6"/>
    <w:rsid w:val="0012440E"/>
    <w:rsid w:val="00127CAF"/>
    <w:rsid w:val="00133766"/>
    <w:rsid w:val="00137BE3"/>
    <w:rsid w:val="00137D03"/>
    <w:rsid w:val="0014220D"/>
    <w:rsid w:val="00156059"/>
    <w:rsid w:val="00175765"/>
    <w:rsid w:val="001B7A6B"/>
    <w:rsid w:val="001C2A3F"/>
    <w:rsid w:val="001D4592"/>
    <w:rsid w:val="001F409B"/>
    <w:rsid w:val="001F4EEE"/>
    <w:rsid w:val="002261E1"/>
    <w:rsid w:val="00226AFE"/>
    <w:rsid w:val="00241028"/>
    <w:rsid w:val="00257817"/>
    <w:rsid w:val="002A1F89"/>
    <w:rsid w:val="002A52CC"/>
    <w:rsid w:val="002D1E9E"/>
    <w:rsid w:val="002E198D"/>
    <w:rsid w:val="002F343D"/>
    <w:rsid w:val="002F76D4"/>
    <w:rsid w:val="00316B5E"/>
    <w:rsid w:val="00324A09"/>
    <w:rsid w:val="00324C97"/>
    <w:rsid w:val="003404E2"/>
    <w:rsid w:val="003458ED"/>
    <w:rsid w:val="00347939"/>
    <w:rsid w:val="00354085"/>
    <w:rsid w:val="00361A74"/>
    <w:rsid w:val="00375740"/>
    <w:rsid w:val="0037664F"/>
    <w:rsid w:val="0039001B"/>
    <w:rsid w:val="00392472"/>
    <w:rsid w:val="003A2472"/>
    <w:rsid w:val="003D3666"/>
    <w:rsid w:val="003D6757"/>
    <w:rsid w:val="003D6789"/>
    <w:rsid w:val="00402399"/>
    <w:rsid w:val="00403965"/>
    <w:rsid w:val="0041475A"/>
    <w:rsid w:val="00440497"/>
    <w:rsid w:val="00443140"/>
    <w:rsid w:val="00443AF2"/>
    <w:rsid w:val="00444709"/>
    <w:rsid w:val="00461559"/>
    <w:rsid w:val="00470D9A"/>
    <w:rsid w:val="00481927"/>
    <w:rsid w:val="004A4C70"/>
    <w:rsid w:val="004B0A19"/>
    <w:rsid w:val="004B226D"/>
    <w:rsid w:val="004C7216"/>
    <w:rsid w:val="004E5A15"/>
    <w:rsid w:val="00503004"/>
    <w:rsid w:val="005067B8"/>
    <w:rsid w:val="0052108C"/>
    <w:rsid w:val="00555390"/>
    <w:rsid w:val="00556CAC"/>
    <w:rsid w:val="00582CEA"/>
    <w:rsid w:val="00583715"/>
    <w:rsid w:val="0058648A"/>
    <w:rsid w:val="00596DA0"/>
    <w:rsid w:val="005A24FE"/>
    <w:rsid w:val="005B0492"/>
    <w:rsid w:val="005C233C"/>
    <w:rsid w:val="005C7CE3"/>
    <w:rsid w:val="005D2F55"/>
    <w:rsid w:val="005D7D56"/>
    <w:rsid w:val="005F2C88"/>
    <w:rsid w:val="005F4441"/>
    <w:rsid w:val="0062310C"/>
    <w:rsid w:val="00623F7D"/>
    <w:rsid w:val="006561E3"/>
    <w:rsid w:val="006601F3"/>
    <w:rsid w:val="0066405A"/>
    <w:rsid w:val="0069488B"/>
    <w:rsid w:val="006969BC"/>
    <w:rsid w:val="006A0C74"/>
    <w:rsid w:val="006A1337"/>
    <w:rsid w:val="006B43D9"/>
    <w:rsid w:val="006D64AA"/>
    <w:rsid w:val="006E10AB"/>
    <w:rsid w:val="006E1E58"/>
    <w:rsid w:val="006E521A"/>
    <w:rsid w:val="006F01B9"/>
    <w:rsid w:val="0071068D"/>
    <w:rsid w:val="00711A54"/>
    <w:rsid w:val="00747168"/>
    <w:rsid w:val="0075020F"/>
    <w:rsid w:val="007742A9"/>
    <w:rsid w:val="0077760E"/>
    <w:rsid w:val="007802EF"/>
    <w:rsid w:val="00782EB6"/>
    <w:rsid w:val="007A4F47"/>
    <w:rsid w:val="007A602A"/>
    <w:rsid w:val="007B0D4A"/>
    <w:rsid w:val="007C2970"/>
    <w:rsid w:val="007D41BF"/>
    <w:rsid w:val="007E0A92"/>
    <w:rsid w:val="0080010D"/>
    <w:rsid w:val="0080318C"/>
    <w:rsid w:val="00805AF1"/>
    <w:rsid w:val="0081662A"/>
    <w:rsid w:val="008279C4"/>
    <w:rsid w:val="0084009D"/>
    <w:rsid w:val="008740E3"/>
    <w:rsid w:val="00877084"/>
    <w:rsid w:val="008925CC"/>
    <w:rsid w:val="00896F00"/>
    <w:rsid w:val="008B30FD"/>
    <w:rsid w:val="008C12D1"/>
    <w:rsid w:val="008C29ED"/>
    <w:rsid w:val="008C4DCD"/>
    <w:rsid w:val="00941867"/>
    <w:rsid w:val="009418C0"/>
    <w:rsid w:val="009664A8"/>
    <w:rsid w:val="0098769B"/>
    <w:rsid w:val="00990B68"/>
    <w:rsid w:val="0099522C"/>
    <w:rsid w:val="009A059D"/>
    <w:rsid w:val="009A2418"/>
    <w:rsid w:val="009A7AC0"/>
    <w:rsid w:val="009B3126"/>
    <w:rsid w:val="009C6E20"/>
    <w:rsid w:val="009D5625"/>
    <w:rsid w:val="009E3B7C"/>
    <w:rsid w:val="009F0BD8"/>
    <w:rsid w:val="00A06BDB"/>
    <w:rsid w:val="00A51E89"/>
    <w:rsid w:val="00A5350C"/>
    <w:rsid w:val="00A7288A"/>
    <w:rsid w:val="00A80E04"/>
    <w:rsid w:val="00AD05E4"/>
    <w:rsid w:val="00AD21BB"/>
    <w:rsid w:val="00AE1FD6"/>
    <w:rsid w:val="00AE5EAC"/>
    <w:rsid w:val="00AF5B53"/>
    <w:rsid w:val="00AF6349"/>
    <w:rsid w:val="00B15A9F"/>
    <w:rsid w:val="00B232CA"/>
    <w:rsid w:val="00B23DBA"/>
    <w:rsid w:val="00B244BA"/>
    <w:rsid w:val="00B52592"/>
    <w:rsid w:val="00B5331A"/>
    <w:rsid w:val="00B56097"/>
    <w:rsid w:val="00B57A5D"/>
    <w:rsid w:val="00B645C7"/>
    <w:rsid w:val="00B94A4F"/>
    <w:rsid w:val="00BA1E15"/>
    <w:rsid w:val="00BD0610"/>
    <w:rsid w:val="00BE2CEC"/>
    <w:rsid w:val="00C05FD3"/>
    <w:rsid w:val="00C15184"/>
    <w:rsid w:val="00C307D2"/>
    <w:rsid w:val="00C36A7B"/>
    <w:rsid w:val="00C41B68"/>
    <w:rsid w:val="00C77DC3"/>
    <w:rsid w:val="00C93A03"/>
    <w:rsid w:val="00C948E2"/>
    <w:rsid w:val="00CA507C"/>
    <w:rsid w:val="00CB4855"/>
    <w:rsid w:val="00CB7C2A"/>
    <w:rsid w:val="00CC2319"/>
    <w:rsid w:val="00CE4DF8"/>
    <w:rsid w:val="00CE5140"/>
    <w:rsid w:val="00D00FE9"/>
    <w:rsid w:val="00D02C4C"/>
    <w:rsid w:val="00D05E39"/>
    <w:rsid w:val="00D0701D"/>
    <w:rsid w:val="00D40E99"/>
    <w:rsid w:val="00D42877"/>
    <w:rsid w:val="00D71A2F"/>
    <w:rsid w:val="00D74B0A"/>
    <w:rsid w:val="00D82549"/>
    <w:rsid w:val="00D944D5"/>
    <w:rsid w:val="00DA15DD"/>
    <w:rsid w:val="00DB3144"/>
    <w:rsid w:val="00DB7ED8"/>
    <w:rsid w:val="00DD13E9"/>
    <w:rsid w:val="00DD709E"/>
    <w:rsid w:val="00E00630"/>
    <w:rsid w:val="00E14492"/>
    <w:rsid w:val="00E2451E"/>
    <w:rsid w:val="00E310EB"/>
    <w:rsid w:val="00E344A4"/>
    <w:rsid w:val="00E37A38"/>
    <w:rsid w:val="00E46793"/>
    <w:rsid w:val="00E52B26"/>
    <w:rsid w:val="00E62172"/>
    <w:rsid w:val="00E94F30"/>
    <w:rsid w:val="00EA66F2"/>
    <w:rsid w:val="00EB0F69"/>
    <w:rsid w:val="00EB6174"/>
    <w:rsid w:val="00EC2235"/>
    <w:rsid w:val="00EC5CB9"/>
    <w:rsid w:val="00ED3DC7"/>
    <w:rsid w:val="00F10265"/>
    <w:rsid w:val="00F261F2"/>
    <w:rsid w:val="00F50C56"/>
    <w:rsid w:val="00F5236E"/>
    <w:rsid w:val="00F72447"/>
    <w:rsid w:val="00F73564"/>
    <w:rsid w:val="00F86260"/>
    <w:rsid w:val="00FA032D"/>
    <w:rsid w:val="00FB37B0"/>
    <w:rsid w:val="00FD7810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44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2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styleId="Nadpis5">
    <w:name w:val="heading 5"/>
    <w:basedOn w:val="Normlny"/>
    <w:link w:val="Nadpis5Char"/>
    <w:qFormat/>
    <w:rsid w:val="00B244BA"/>
    <w:pPr>
      <w:widowControl w:val="0"/>
      <w:suppressAutoHyphens w:val="0"/>
      <w:autoSpaceDE w:val="0"/>
      <w:autoSpaceDN w:val="0"/>
      <w:ind w:left="582"/>
      <w:outlineLvl w:val="4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2C4C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2C4C"/>
  </w:style>
  <w:style w:type="paragraph" w:styleId="Pta">
    <w:name w:val="footer"/>
    <w:basedOn w:val="Normlny"/>
    <w:link w:val="PtaChar"/>
    <w:uiPriority w:val="99"/>
    <w:unhideWhenUsed/>
    <w:rsid w:val="00D02C4C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D02C4C"/>
  </w:style>
  <w:style w:type="paragraph" w:styleId="Odsekzoznamu">
    <w:name w:val="List Paragraph"/>
    <w:aliases w:val="Bullet Number,lp1,lp11,Use Case List Paragraph,body,Odstavec cíl se seznamem,Odstavec se seznamem1,VS_Odsek,Odsek zoznamu2,Odsek"/>
    <w:basedOn w:val="Normlny"/>
    <w:link w:val="OdsekzoznamuChar"/>
    <w:uiPriority w:val="34"/>
    <w:qFormat/>
    <w:rsid w:val="00D02C4C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autoRedefine/>
    <w:uiPriority w:val="1"/>
    <w:qFormat/>
    <w:rsid w:val="00D02C4C"/>
    <w:pPr>
      <w:tabs>
        <w:tab w:val="left" w:pos="1701"/>
      </w:tabs>
      <w:spacing w:before="120" w:after="120" w:line="276" w:lineRule="auto"/>
      <w:ind w:left="2127" w:hanging="2127"/>
      <w:jc w:val="both"/>
    </w:pPr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ullet Number Char,lp1 Char,lp11 Char,Use Case List Paragraph Char,body Char,Odstavec cíl se seznamem Char,Odstavec se seznamem1 Char,VS_Odsek Char,Odsek zoznamu2 Char,Odsek Char"/>
    <w:link w:val="Odsekzoznamu"/>
    <w:uiPriority w:val="34"/>
    <w:qFormat/>
    <w:locked/>
    <w:rsid w:val="00D02C4C"/>
    <w:rPr>
      <w:rFonts w:ascii="Calibri" w:eastAsia="Calibri" w:hAnsi="Calibri" w:cs="Calibri"/>
      <w:lang w:val="sk-SK"/>
    </w:rPr>
  </w:style>
  <w:style w:type="paragraph" w:styleId="Nzov">
    <w:name w:val="Title"/>
    <w:aliases w:val="bežný text"/>
    <w:basedOn w:val="Normlny"/>
    <w:next w:val="Normlny"/>
    <w:link w:val="NzovChar"/>
    <w:autoRedefine/>
    <w:uiPriority w:val="10"/>
    <w:qFormat/>
    <w:rsid w:val="00D02C4C"/>
    <w:pPr>
      <w:suppressAutoHyphens w:val="0"/>
      <w:spacing w:before="120" w:after="120" w:line="276" w:lineRule="auto"/>
      <w:ind w:left="2127" w:hanging="2127"/>
      <w:jc w:val="both"/>
    </w:pPr>
    <w:rPr>
      <w:rFonts w:eastAsiaTheme="majorEastAsia" w:cstheme="majorBidi"/>
      <w:kern w:val="28"/>
      <w:sz w:val="22"/>
      <w:szCs w:val="56"/>
      <w:lang w:eastAsia="en-US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D02C4C"/>
    <w:rPr>
      <w:rFonts w:ascii="Times New Roman" w:eastAsiaTheme="majorEastAsia" w:hAnsi="Times New Roman" w:cstheme="majorBidi"/>
      <w:kern w:val="28"/>
      <w:szCs w:val="56"/>
      <w:lang w:val="sk-SK"/>
    </w:rPr>
  </w:style>
  <w:style w:type="character" w:styleId="Hypertextovprepojenie">
    <w:name w:val="Hyperlink"/>
    <w:basedOn w:val="Predvolenpsmoodseku"/>
    <w:uiPriority w:val="99"/>
    <w:unhideWhenUsed/>
    <w:rsid w:val="00C93A0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24FE"/>
    <w:rPr>
      <w:color w:val="954F72" w:themeColor="followedHyperlink"/>
      <w:u w:val="single"/>
    </w:rPr>
  </w:style>
  <w:style w:type="character" w:customStyle="1" w:styleId="Nadpis5Char">
    <w:name w:val="Nadpis 5 Char"/>
    <w:basedOn w:val="Predvolenpsmoodseku"/>
    <w:link w:val="Nadpis5"/>
    <w:qFormat/>
    <w:rsid w:val="00B244BA"/>
    <w:rPr>
      <w:rFonts w:ascii="Arial" w:eastAsia="Arial" w:hAnsi="Arial" w:cs="Arial"/>
      <w:b/>
      <w:bCs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140"/>
    <w:rPr>
      <w:rFonts w:ascii="Segoe UI" w:eastAsia="Times New Roman" w:hAnsi="Segoe UI" w:cs="Segoe UI"/>
      <w:sz w:val="18"/>
      <w:szCs w:val="18"/>
      <w:lang w:val="sk-SK" w:eastAsia="ar-SA"/>
    </w:rPr>
  </w:style>
  <w:style w:type="paragraph" w:styleId="Revzia">
    <w:name w:val="Revision"/>
    <w:hidden/>
    <w:uiPriority w:val="99"/>
    <w:semiHidden/>
    <w:rsid w:val="00BA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CB4855"/>
    <w:pPr>
      <w:suppressAutoHyphens w:val="0"/>
      <w:spacing w:after="120"/>
    </w:pPr>
    <w:rPr>
      <w:lang w:eastAsia="sk-SK"/>
    </w:r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CB4855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941867"/>
    <w:pPr>
      <w:suppressAutoHyphens w:val="0"/>
      <w:ind w:left="708"/>
    </w:pPr>
    <w:rPr>
      <w:lang w:eastAsia="sk-SK"/>
    </w:r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941867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DBAF-174B-4186-9AB8-36435C6E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2021-03-31T10:11:00Z</dcterms:created>
  <dcterms:modified xsi:type="dcterms:W3CDTF">2025-07-17T08:47:00Z</dcterms:modified>
</cp:coreProperties>
</file>