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B8" w:rsidRPr="0017175B" w:rsidRDefault="006F41B8" w:rsidP="006F41B8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ind w:left="0" w:firstLine="0"/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</w:pP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PRÍLOHA Č.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>1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>1</w:t>
      </w: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 SÚŤAŽNÝCH PODKLADOV</w:t>
      </w:r>
    </w:p>
    <w:p w:rsidR="006F41B8" w:rsidRPr="0017175B" w:rsidRDefault="006F41B8" w:rsidP="006F41B8"/>
    <w:p w:rsidR="006F41B8" w:rsidRPr="0017175B" w:rsidRDefault="006F41B8" w:rsidP="006F41B8">
      <w:pPr>
        <w:pStyle w:val="Nadpis2"/>
        <w:spacing w:before="0" w:after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17175B">
        <w:rPr>
          <w:rFonts w:asciiTheme="minorHAnsi" w:hAnsiTheme="minorHAnsi" w:cstheme="minorHAnsi"/>
          <w:b/>
          <w:bCs/>
          <w:color w:val="000000" w:themeColor="text1"/>
        </w:rPr>
        <w:t xml:space="preserve">ČESTNÉ VYHLÁSENIE </w:t>
      </w:r>
      <w:r>
        <w:rPr>
          <w:rFonts w:asciiTheme="minorHAnsi" w:hAnsiTheme="minorHAnsi" w:cstheme="minorHAnsi"/>
          <w:b/>
          <w:bCs/>
          <w:color w:val="000000" w:themeColor="text1"/>
        </w:rPr>
        <w:t>UCHÁDZAČA</w:t>
      </w:r>
    </w:p>
    <w:p w:rsidR="006F41B8" w:rsidRPr="002257A6" w:rsidRDefault="006F41B8" w:rsidP="006F41B8">
      <w:pPr>
        <w:contextualSpacing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 tom, že sa na uchádzača a jeho subdodávateľov nevzťahujú medzinárodné sankcie</w:t>
      </w:r>
    </w:p>
    <w:p w:rsidR="006F41B8" w:rsidRDefault="006F41B8" w:rsidP="006F41B8">
      <w:pPr>
        <w:jc w:val="both"/>
        <w:rPr>
          <w:rFonts w:asciiTheme="minorHAnsi" w:hAnsiTheme="minorHAnsi" w:cstheme="minorHAnsi"/>
        </w:rPr>
      </w:pPr>
    </w:p>
    <w:p w:rsidR="00D966FE" w:rsidRPr="006F41B8" w:rsidRDefault="006F41B8" w:rsidP="006F41B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D36">
        <w:rPr>
          <w:rFonts w:asciiTheme="minorHAnsi" w:hAnsiTheme="minorHAnsi" w:cstheme="minorHAnsi"/>
        </w:rPr>
        <w:t>Týmto ako uchádzač</w:t>
      </w:r>
      <w:r w:rsidRPr="00AB7D36">
        <w:rPr>
          <w:rFonts w:asciiTheme="minorHAnsi" w:hAnsiTheme="minorHAnsi" w:cstheme="minorHAnsi"/>
          <w:vertAlign w:val="superscript"/>
        </w:rPr>
        <w:footnoteReference w:id="1"/>
      </w:r>
      <w:r w:rsidRPr="00AB7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rámci verejného obstarávania s názvom </w:t>
      </w:r>
      <w:r w:rsidRPr="003D1E93">
        <w:rPr>
          <w:rFonts w:cstheme="minorHAnsi"/>
          <w:b/>
          <w:color w:val="548DD4"/>
        </w:rPr>
        <w:t>„Komplexné poskytovanie poradenských služieb súvisiacich s prípravou a realizáciou PPP projek</w:t>
      </w:r>
      <w:r>
        <w:rPr>
          <w:rFonts w:cstheme="minorHAnsi"/>
          <w:b/>
          <w:color w:val="548DD4"/>
        </w:rPr>
        <w:t>tov pre dopravnú infraštruktúru</w:t>
      </w:r>
      <w:r w:rsidRPr="00A36BCC">
        <w:rPr>
          <w:rFonts w:cstheme="minorHAnsi"/>
          <w:b/>
          <w:color w:val="548DD4"/>
        </w:rPr>
        <w:t>“</w:t>
      </w:r>
      <w:r>
        <w:rPr>
          <w:rFonts w:cstheme="minorHAnsi"/>
          <w:b/>
          <w:color w:val="548DD4"/>
        </w:rPr>
        <w:t xml:space="preserve"> </w:t>
      </w:r>
      <w:r w:rsidR="00D966FE" w:rsidRPr="006F41B8">
        <w:rPr>
          <w:rFonts w:asciiTheme="minorHAnsi" w:eastAsia="Times New Roman" w:hAnsiTheme="minorHAnsi" w:cstheme="minorHAnsi"/>
          <w:color w:val="222222"/>
          <w:lang w:eastAsia="sk-SK"/>
        </w:rPr>
        <w:t>vyhlasuje, že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č. 2022/581 z 8.apríla 2022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onávacieho nariadenie Rady (EÚ);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 Predovšetkým vyhlasujem, že: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D966FE" w:rsidRPr="006F41B8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yššiu ako 10 % hodnoty zákazky.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D966FE" w:rsidRPr="00082DD2" w:rsidRDefault="00D966FE" w:rsidP="00D9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082DD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</w:tc>
      </w:tr>
    </w:tbl>
    <w:p w:rsidR="00864B01" w:rsidRDefault="003936EA" w:rsidP="001A5297">
      <w:pPr>
        <w:shd w:val="clear" w:color="auto" w:fill="FFFFFF"/>
        <w:spacing w:before="144" w:after="0" w:line="240" w:lineRule="auto"/>
        <w:jc w:val="both"/>
      </w:pPr>
      <w:bookmarkStart w:id="0" w:name="_GoBack"/>
      <w:bookmarkEnd w:id="0"/>
    </w:p>
    <w:sectPr w:rsidR="0086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EA" w:rsidRDefault="003936EA" w:rsidP="006F41B8">
      <w:pPr>
        <w:spacing w:after="0" w:line="240" w:lineRule="auto"/>
      </w:pPr>
      <w:r>
        <w:separator/>
      </w:r>
    </w:p>
  </w:endnote>
  <w:endnote w:type="continuationSeparator" w:id="0">
    <w:p w:rsidR="003936EA" w:rsidRDefault="003936EA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EA" w:rsidRDefault="003936EA" w:rsidP="006F41B8">
      <w:pPr>
        <w:spacing w:after="0" w:line="240" w:lineRule="auto"/>
      </w:pPr>
      <w:r>
        <w:separator/>
      </w:r>
    </w:p>
  </w:footnote>
  <w:footnote w:type="continuationSeparator" w:id="0">
    <w:p w:rsidR="003936EA" w:rsidRDefault="003936EA" w:rsidP="006F41B8">
      <w:pPr>
        <w:spacing w:after="0" w:line="240" w:lineRule="auto"/>
      </w:pPr>
      <w:r>
        <w:continuationSeparator/>
      </w:r>
    </w:p>
  </w:footnote>
  <w:footnote w:id="1">
    <w:p w:rsidR="006F41B8" w:rsidRPr="002257A6" w:rsidRDefault="006F41B8" w:rsidP="006F41B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  <w:r w:rsidRPr="002257A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2257A6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257A6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V prípade skupiny dodávateľov je potrebné predložiť za všetkých jej členov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E"/>
    <w:rsid w:val="001A5297"/>
    <w:rsid w:val="003936EA"/>
    <w:rsid w:val="006F41B8"/>
    <w:rsid w:val="0084330A"/>
    <w:rsid w:val="00D05088"/>
    <w:rsid w:val="00D966FE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19A"/>
  <w15:chartTrackingRefBased/>
  <w15:docId w15:val="{A8F9F060-88F3-4E85-B9D7-828AD06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Meľo, Matej</dc:creator>
  <cp:keywords/>
  <dc:description/>
  <cp:lastModifiedBy>Mertiňák, Michal</cp:lastModifiedBy>
  <cp:revision>4</cp:revision>
  <dcterms:created xsi:type="dcterms:W3CDTF">2025-08-07T11:48:00Z</dcterms:created>
  <dcterms:modified xsi:type="dcterms:W3CDTF">2025-08-07T12:19:00Z</dcterms:modified>
</cp:coreProperties>
</file>