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945AE7F" w:rsidR="009E630F" w:rsidRPr="00EB4EAC" w:rsidRDefault="000720CF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0720CF">
              <w:rPr>
                <w:rFonts w:ascii="Arial Narrow" w:hAnsi="Arial Narrow"/>
                <w:sz w:val="22"/>
                <w:szCs w:val="22"/>
              </w:rPr>
              <w:t>Elektrický paralyzátor vystreľovací s príslušenstvom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22EDC839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1C711EFA" w:rsidR="001A04F2" w:rsidRPr="001A04F2" w:rsidRDefault="000720CF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0720CF">
              <w:rPr>
                <w:rFonts w:ascii="Arial Narrow" w:hAnsi="Arial Narrow"/>
                <w:iCs/>
                <w:sz w:val="22"/>
                <w:szCs w:val="22"/>
              </w:rPr>
              <w:t>Elektrický paralyzátor vystreľovací s príslušenstvom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2DBE" w14:textId="77777777" w:rsidR="00AA39B1" w:rsidRDefault="00AA39B1" w:rsidP="003901BE">
      <w:r>
        <w:separator/>
      </w:r>
    </w:p>
  </w:endnote>
  <w:endnote w:type="continuationSeparator" w:id="0">
    <w:p w14:paraId="410FD6EB" w14:textId="77777777" w:rsidR="00AA39B1" w:rsidRDefault="00AA39B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13ACD" w14:textId="77777777" w:rsidR="00AA39B1" w:rsidRDefault="00AA39B1" w:rsidP="003901BE">
      <w:r>
        <w:separator/>
      </w:r>
    </w:p>
  </w:footnote>
  <w:footnote w:type="continuationSeparator" w:id="0">
    <w:p w14:paraId="77DFB5EF" w14:textId="77777777" w:rsidR="00AA39B1" w:rsidRDefault="00AA39B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653999">
    <w:abstractNumId w:val="3"/>
  </w:num>
  <w:num w:numId="2" w16cid:durableId="1073233962">
    <w:abstractNumId w:val="0"/>
  </w:num>
  <w:num w:numId="3" w16cid:durableId="1222449116">
    <w:abstractNumId w:val="10"/>
  </w:num>
  <w:num w:numId="4" w16cid:durableId="1062215476">
    <w:abstractNumId w:val="2"/>
  </w:num>
  <w:num w:numId="5" w16cid:durableId="2112696951">
    <w:abstractNumId w:val="4"/>
  </w:num>
  <w:num w:numId="6" w16cid:durableId="844981426">
    <w:abstractNumId w:val="5"/>
  </w:num>
  <w:num w:numId="7" w16cid:durableId="2036927798">
    <w:abstractNumId w:val="6"/>
  </w:num>
  <w:num w:numId="8" w16cid:durableId="2122190593">
    <w:abstractNumId w:val="7"/>
  </w:num>
  <w:num w:numId="9" w16cid:durableId="298539696">
    <w:abstractNumId w:val="9"/>
  </w:num>
  <w:num w:numId="10" w16cid:durableId="563181922">
    <w:abstractNumId w:val="1"/>
  </w:num>
  <w:num w:numId="11" w16cid:durableId="1339381986">
    <w:abstractNumId w:val="8"/>
  </w:num>
  <w:num w:numId="12" w16cid:durableId="6206945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720CF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353B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2A5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23C2B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A39B1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1185</Words>
  <Characters>6759</Characters>
  <Application>Microsoft Office Word</Application>
  <DocSecurity>0</DocSecurity>
  <Lines>56</Lines>
  <Paragraphs>15</Paragraphs>
  <ScaleCrop>false</ScaleCrop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Milan Varga</cp:lastModifiedBy>
  <cp:revision>3</cp:revision>
  <cp:lastPrinted>2019-09-18T08:24:00Z</cp:lastPrinted>
  <dcterms:created xsi:type="dcterms:W3CDTF">2025-07-01T09:05:00Z</dcterms:created>
  <dcterms:modified xsi:type="dcterms:W3CDTF">2025-07-01T09:06:00Z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