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E1D45" w14:textId="77777777" w:rsidR="00850064" w:rsidRDefault="001071DE">
      <w:pPr>
        <w:spacing w:line="259" w:lineRule="auto"/>
        <w:ind w:left="101"/>
        <w:jc w:val="center"/>
      </w:pPr>
      <w:r>
        <w:rPr>
          <w:noProof/>
        </w:rPr>
        <w:drawing>
          <wp:inline distT="0" distB="0" distL="0" distR="0" wp14:anchorId="650A3DBE" wp14:editId="54EF970F">
            <wp:extent cx="787400" cy="1098550"/>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6"/>
                    <a:stretch>
                      <a:fillRect/>
                    </a:stretch>
                  </pic:blipFill>
                  <pic:spPr>
                    <a:xfrm>
                      <a:off x="0" y="0"/>
                      <a:ext cx="787400" cy="1098550"/>
                    </a:xfrm>
                    <a:prstGeom prst="rect">
                      <a:avLst/>
                    </a:prstGeom>
                  </pic:spPr>
                </pic:pic>
              </a:graphicData>
            </a:graphic>
          </wp:inline>
        </w:drawing>
      </w:r>
      <w:r>
        <w:rPr>
          <w:b/>
          <w:sz w:val="30"/>
        </w:rPr>
        <w:t xml:space="preserve"> </w:t>
      </w:r>
    </w:p>
    <w:tbl>
      <w:tblPr>
        <w:tblStyle w:val="TableGrid"/>
        <w:tblW w:w="9131" w:type="dxa"/>
        <w:tblInd w:w="0" w:type="dxa"/>
        <w:tblLook w:val="04A0" w:firstRow="1" w:lastRow="0" w:firstColumn="1" w:lastColumn="0" w:noHBand="0" w:noVBand="1"/>
      </w:tblPr>
      <w:tblGrid>
        <w:gridCol w:w="2552"/>
        <w:gridCol w:w="6579"/>
      </w:tblGrid>
      <w:tr w:rsidR="00850064" w14:paraId="3A88A52B" w14:textId="77777777">
        <w:trPr>
          <w:trHeight w:val="547"/>
        </w:trPr>
        <w:tc>
          <w:tcPr>
            <w:tcW w:w="2552" w:type="dxa"/>
            <w:tcBorders>
              <w:top w:val="nil"/>
              <w:left w:val="nil"/>
              <w:bottom w:val="nil"/>
              <w:right w:val="nil"/>
            </w:tcBorders>
          </w:tcPr>
          <w:p w14:paraId="5FD5A539" w14:textId="77777777" w:rsidR="00850064" w:rsidRDefault="001071DE">
            <w:pPr>
              <w:spacing w:line="259" w:lineRule="auto"/>
            </w:pPr>
            <w:r>
              <w:t xml:space="preserve"> </w:t>
            </w:r>
          </w:p>
          <w:p w14:paraId="22306EA6" w14:textId="77777777" w:rsidR="00850064" w:rsidRDefault="001071DE">
            <w:pPr>
              <w:spacing w:line="259" w:lineRule="auto"/>
            </w:pPr>
            <w:r>
              <w:t xml:space="preserve"> </w:t>
            </w:r>
          </w:p>
        </w:tc>
        <w:tc>
          <w:tcPr>
            <w:tcW w:w="6579" w:type="dxa"/>
            <w:tcBorders>
              <w:top w:val="nil"/>
              <w:left w:val="nil"/>
              <w:bottom w:val="nil"/>
              <w:right w:val="nil"/>
            </w:tcBorders>
          </w:tcPr>
          <w:p w14:paraId="3711A235" w14:textId="77777777" w:rsidR="00850064" w:rsidRDefault="00850064">
            <w:pPr>
              <w:spacing w:after="160" w:line="259" w:lineRule="auto"/>
            </w:pPr>
          </w:p>
        </w:tc>
      </w:tr>
      <w:tr w:rsidR="00850064" w14:paraId="7DD0AF20" w14:textId="77777777">
        <w:trPr>
          <w:trHeight w:val="828"/>
        </w:trPr>
        <w:tc>
          <w:tcPr>
            <w:tcW w:w="2552" w:type="dxa"/>
            <w:tcBorders>
              <w:top w:val="nil"/>
              <w:left w:val="nil"/>
              <w:bottom w:val="nil"/>
              <w:right w:val="nil"/>
            </w:tcBorders>
          </w:tcPr>
          <w:p w14:paraId="27353B43" w14:textId="77777777" w:rsidR="00850064" w:rsidRDefault="001071DE">
            <w:pPr>
              <w:spacing w:line="259" w:lineRule="auto"/>
            </w:pPr>
            <w:r>
              <w:t xml:space="preserve">Nr sprawy: </w:t>
            </w:r>
          </w:p>
          <w:p w14:paraId="402F4E9C" w14:textId="77777777" w:rsidR="00850064" w:rsidRDefault="001071DE">
            <w:pPr>
              <w:spacing w:line="259" w:lineRule="auto"/>
            </w:pPr>
            <w:r>
              <w:t xml:space="preserve"> </w:t>
            </w:r>
          </w:p>
          <w:p w14:paraId="71E78545" w14:textId="77777777" w:rsidR="00850064" w:rsidRDefault="001071DE">
            <w:pPr>
              <w:spacing w:line="259" w:lineRule="auto"/>
            </w:pPr>
            <w:r>
              <w:t xml:space="preserve"> </w:t>
            </w:r>
          </w:p>
        </w:tc>
        <w:tc>
          <w:tcPr>
            <w:tcW w:w="6579" w:type="dxa"/>
            <w:tcBorders>
              <w:top w:val="nil"/>
              <w:left w:val="nil"/>
              <w:bottom w:val="nil"/>
              <w:right w:val="nil"/>
            </w:tcBorders>
          </w:tcPr>
          <w:p w14:paraId="59F096A9" w14:textId="01A98027" w:rsidR="00850064" w:rsidRPr="00412709" w:rsidRDefault="001071DE">
            <w:pPr>
              <w:spacing w:line="259" w:lineRule="auto"/>
              <w:rPr>
                <w:rFonts w:ascii="Calibri" w:hAnsi="Calibri" w:cs="Calibri"/>
                <w:sz w:val="22"/>
                <w:szCs w:val="22"/>
              </w:rPr>
            </w:pPr>
            <w:r w:rsidRPr="00412709">
              <w:rPr>
                <w:rFonts w:ascii="Calibri" w:hAnsi="Calibri" w:cs="Calibri"/>
                <w:b/>
                <w:sz w:val="22"/>
                <w:szCs w:val="22"/>
              </w:rPr>
              <w:t>0</w:t>
            </w:r>
            <w:r w:rsidR="00412709" w:rsidRPr="00412709">
              <w:rPr>
                <w:rFonts w:ascii="Calibri" w:hAnsi="Calibri" w:cs="Calibri"/>
                <w:b/>
                <w:sz w:val="22"/>
                <w:szCs w:val="22"/>
              </w:rPr>
              <w:t>6</w:t>
            </w:r>
            <w:r w:rsidRPr="00412709">
              <w:rPr>
                <w:rFonts w:ascii="Calibri" w:hAnsi="Calibri" w:cs="Calibri"/>
                <w:b/>
                <w:sz w:val="22"/>
                <w:szCs w:val="22"/>
              </w:rPr>
              <w:t>/2025</w:t>
            </w:r>
            <w:r w:rsidRPr="00412709">
              <w:rPr>
                <w:rFonts w:ascii="Calibri" w:hAnsi="Calibri" w:cs="Calibri"/>
                <w:sz w:val="22"/>
                <w:szCs w:val="22"/>
              </w:rPr>
              <w:t xml:space="preserve"> </w:t>
            </w:r>
          </w:p>
        </w:tc>
      </w:tr>
      <w:tr w:rsidR="00850064" w:rsidRPr="00412709" w14:paraId="68D82E26" w14:textId="77777777">
        <w:trPr>
          <w:trHeight w:val="1933"/>
        </w:trPr>
        <w:tc>
          <w:tcPr>
            <w:tcW w:w="2552" w:type="dxa"/>
            <w:tcBorders>
              <w:top w:val="nil"/>
              <w:left w:val="nil"/>
              <w:bottom w:val="nil"/>
              <w:right w:val="nil"/>
            </w:tcBorders>
          </w:tcPr>
          <w:p w14:paraId="49DB67BE" w14:textId="77777777" w:rsidR="00850064" w:rsidRDefault="001071DE">
            <w:pPr>
              <w:spacing w:after="1080" w:line="259" w:lineRule="auto"/>
            </w:pPr>
            <w:r>
              <w:t xml:space="preserve">Tryb postępowania: </w:t>
            </w:r>
          </w:p>
          <w:p w14:paraId="0127CD4D" w14:textId="77777777" w:rsidR="00850064" w:rsidRDefault="001071DE">
            <w:pPr>
              <w:spacing w:line="259" w:lineRule="auto"/>
            </w:pPr>
            <w:r>
              <w:t xml:space="preserve"> </w:t>
            </w:r>
          </w:p>
          <w:p w14:paraId="6EFBBE50" w14:textId="77777777" w:rsidR="00850064" w:rsidRDefault="001071DE">
            <w:pPr>
              <w:spacing w:line="259" w:lineRule="auto"/>
            </w:pPr>
            <w:r>
              <w:t xml:space="preserve"> </w:t>
            </w:r>
          </w:p>
        </w:tc>
        <w:tc>
          <w:tcPr>
            <w:tcW w:w="6579" w:type="dxa"/>
            <w:tcBorders>
              <w:top w:val="nil"/>
              <w:left w:val="nil"/>
              <w:bottom w:val="nil"/>
              <w:right w:val="nil"/>
            </w:tcBorders>
          </w:tcPr>
          <w:p w14:paraId="4AC0FDDF" w14:textId="77777777" w:rsidR="00850064" w:rsidRPr="00412709" w:rsidRDefault="001071DE">
            <w:pPr>
              <w:spacing w:line="259" w:lineRule="auto"/>
              <w:ind w:right="63"/>
              <w:rPr>
                <w:rFonts w:ascii="Calibri" w:hAnsi="Calibri" w:cs="Calibri"/>
                <w:sz w:val="22"/>
                <w:szCs w:val="22"/>
              </w:rPr>
            </w:pPr>
            <w:r w:rsidRPr="00412709">
              <w:rPr>
                <w:rFonts w:ascii="Calibri" w:hAnsi="Calibri" w:cs="Calibri"/>
                <w:b/>
                <w:sz w:val="22"/>
                <w:szCs w:val="22"/>
              </w:rPr>
              <w:t xml:space="preserve">Postępowanie o udzielenie zamówienia publicznego w trybie art. 275 pkt 1 (tryb podstawowy bez negocjacji) o wartości zamówienia nieprzekraczającej progów, o których mowa w art. 3 ustawy z dnia 11 września 2019 r. - Prawo zamówień publicznych </w:t>
            </w:r>
          </w:p>
        </w:tc>
      </w:tr>
      <w:tr w:rsidR="00850064" w:rsidRPr="00412709" w14:paraId="54EF8B73" w14:textId="77777777">
        <w:trPr>
          <w:trHeight w:val="828"/>
        </w:trPr>
        <w:tc>
          <w:tcPr>
            <w:tcW w:w="2552" w:type="dxa"/>
            <w:tcBorders>
              <w:top w:val="nil"/>
              <w:left w:val="nil"/>
              <w:bottom w:val="nil"/>
              <w:right w:val="nil"/>
            </w:tcBorders>
          </w:tcPr>
          <w:p w14:paraId="486F555A" w14:textId="77777777" w:rsidR="00850064" w:rsidRDefault="001071DE">
            <w:pPr>
              <w:spacing w:line="259" w:lineRule="auto"/>
            </w:pPr>
            <w:r>
              <w:t xml:space="preserve">Przedmiot: </w:t>
            </w:r>
          </w:p>
          <w:p w14:paraId="722A2699" w14:textId="77777777" w:rsidR="00850064" w:rsidRDefault="001071DE">
            <w:pPr>
              <w:spacing w:line="259" w:lineRule="auto"/>
            </w:pPr>
            <w:r>
              <w:t xml:space="preserve"> </w:t>
            </w:r>
          </w:p>
          <w:p w14:paraId="5617B1AB" w14:textId="77777777" w:rsidR="00850064" w:rsidRDefault="001071DE">
            <w:pPr>
              <w:spacing w:line="259" w:lineRule="auto"/>
            </w:pPr>
            <w:r>
              <w:t xml:space="preserve"> </w:t>
            </w:r>
          </w:p>
        </w:tc>
        <w:tc>
          <w:tcPr>
            <w:tcW w:w="6579" w:type="dxa"/>
            <w:tcBorders>
              <w:top w:val="nil"/>
              <w:left w:val="nil"/>
              <w:bottom w:val="nil"/>
              <w:right w:val="nil"/>
            </w:tcBorders>
          </w:tcPr>
          <w:p w14:paraId="01AAB06F" w14:textId="77777777" w:rsidR="00412709" w:rsidRPr="00412709" w:rsidRDefault="00412709" w:rsidP="00412709">
            <w:pPr>
              <w:spacing w:line="249" w:lineRule="auto"/>
              <w:ind w:left="-5" w:right="589" w:hanging="10"/>
              <w:rPr>
                <w:rFonts w:ascii="Calibri" w:hAnsi="Calibri" w:cs="Calibri"/>
                <w:b/>
                <w:bCs/>
                <w:color w:val="333333"/>
                <w:sz w:val="22"/>
                <w:szCs w:val="22"/>
                <w:shd w:val="clear" w:color="auto" w:fill="FFFFFF"/>
              </w:rPr>
            </w:pPr>
            <w:r w:rsidRPr="00412709">
              <w:rPr>
                <w:rFonts w:ascii="Calibri" w:hAnsi="Calibri" w:cs="Calibri"/>
                <w:b/>
                <w:bCs/>
                <w:color w:val="333333"/>
                <w:sz w:val="22"/>
                <w:szCs w:val="22"/>
                <w:shd w:val="clear" w:color="auto" w:fill="FFFFFF"/>
              </w:rPr>
              <w:t>Leasing operacyjny niekonsumencki 1 kompletnego pojazdu specjalistycznego typu „Śmieciarka”</w:t>
            </w:r>
          </w:p>
          <w:p w14:paraId="6607D126" w14:textId="7FE14F43" w:rsidR="00850064" w:rsidRPr="00412709" w:rsidRDefault="00850064">
            <w:pPr>
              <w:spacing w:line="259" w:lineRule="auto"/>
              <w:rPr>
                <w:rFonts w:ascii="Calibri" w:hAnsi="Calibri" w:cs="Calibri"/>
                <w:sz w:val="22"/>
                <w:szCs w:val="22"/>
              </w:rPr>
            </w:pPr>
          </w:p>
        </w:tc>
      </w:tr>
      <w:tr w:rsidR="00850064" w:rsidRPr="00412709" w14:paraId="604D4720" w14:textId="77777777">
        <w:trPr>
          <w:trHeight w:val="2203"/>
        </w:trPr>
        <w:tc>
          <w:tcPr>
            <w:tcW w:w="2552" w:type="dxa"/>
            <w:tcBorders>
              <w:top w:val="nil"/>
              <w:left w:val="nil"/>
              <w:bottom w:val="nil"/>
              <w:right w:val="nil"/>
            </w:tcBorders>
          </w:tcPr>
          <w:p w14:paraId="30335A06" w14:textId="17BFD77F" w:rsidR="00850064" w:rsidRDefault="001071DE" w:rsidP="00A02795">
            <w:pPr>
              <w:spacing w:after="1080" w:line="259" w:lineRule="auto"/>
            </w:pPr>
            <w:r>
              <w:t xml:space="preserve">Zamawiający: </w:t>
            </w:r>
          </w:p>
        </w:tc>
        <w:tc>
          <w:tcPr>
            <w:tcW w:w="6579" w:type="dxa"/>
            <w:tcBorders>
              <w:top w:val="nil"/>
              <w:left w:val="nil"/>
              <w:bottom w:val="nil"/>
              <w:right w:val="nil"/>
            </w:tcBorders>
          </w:tcPr>
          <w:p w14:paraId="3D116B47" w14:textId="77777777" w:rsidR="00850064" w:rsidRPr="00412709" w:rsidRDefault="001071DE">
            <w:pPr>
              <w:spacing w:line="259" w:lineRule="auto"/>
              <w:ind w:right="62"/>
              <w:rPr>
                <w:rFonts w:ascii="Calibri" w:hAnsi="Calibri" w:cs="Calibri"/>
                <w:sz w:val="22"/>
                <w:szCs w:val="22"/>
              </w:rPr>
            </w:pPr>
            <w:r w:rsidRPr="00412709">
              <w:rPr>
                <w:rFonts w:ascii="Calibri" w:hAnsi="Calibri" w:cs="Calibri"/>
                <w:b/>
                <w:sz w:val="22"/>
                <w:szCs w:val="22"/>
              </w:rPr>
              <w:t xml:space="preserve">Przedsiębiorstwo Usług Komunalnych Piaseczno Sp. z o.o. z siedzibą: 05-500 Piaseczno, ul. Techniczna 6, wpisana do Rejestru Przedsiębiorców Krajowego Rejestru Sądowego pod nr KRS: 0000122596, NIP: 1230878675, REGON: 016161080 </w:t>
            </w:r>
          </w:p>
        </w:tc>
      </w:tr>
    </w:tbl>
    <w:p w14:paraId="6706B091" w14:textId="33072679" w:rsidR="00850064" w:rsidRDefault="001071DE" w:rsidP="00A02795">
      <w:pPr>
        <w:spacing w:line="265" w:lineRule="auto"/>
        <w:ind w:left="1476" w:right="1482"/>
        <w:jc w:val="center"/>
      </w:pPr>
      <w:r>
        <w:rPr>
          <w:b/>
          <w:sz w:val="28"/>
        </w:rPr>
        <w:t xml:space="preserve">WYJAŚNIENIA  TREŚCI SPECYFIKACJI  WARUNKÓW  ZAMÓWIENIA </w:t>
      </w:r>
    </w:p>
    <w:p w14:paraId="06B0AA0F" w14:textId="77777777" w:rsidR="00850064" w:rsidRDefault="001071DE">
      <w:pPr>
        <w:spacing w:after="35" w:line="259" w:lineRule="auto"/>
      </w:pPr>
      <w:r>
        <w:rPr>
          <w:sz w:val="22"/>
        </w:rPr>
        <w:t xml:space="preserve"> </w:t>
      </w:r>
    </w:p>
    <w:p w14:paraId="4278ACD5" w14:textId="257BAADB" w:rsidR="00850064" w:rsidRPr="002F1AF5" w:rsidRDefault="001071DE" w:rsidP="00857D1F">
      <w:pPr>
        <w:spacing w:after="11"/>
        <w:ind w:left="-15"/>
        <w:jc w:val="both"/>
        <w:rPr>
          <w:rFonts w:ascii="Calibri" w:hAnsi="Calibri" w:cs="Calibri"/>
          <w:sz w:val="22"/>
          <w:szCs w:val="22"/>
        </w:rPr>
      </w:pPr>
      <w:r w:rsidRPr="002F1AF5">
        <w:rPr>
          <w:rFonts w:ascii="Calibri" w:hAnsi="Calibri" w:cs="Calibri"/>
          <w:sz w:val="22"/>
          <w:szCs w:val="22"/>
        </w:rPr>
        <w:t>W związku z postępowaniem o udzielenie zamówienia pn. „</w:t>
      </w:r>
      <w:r w:rsidR="00412709" w:rsidRPr="002F1AF5">
        <w:rPr>
          <w:rFonts w:ascii="Calibri" w:hAnsi="Calibri" w:cs="Calibri"/>
          <w:b/>
          <w:bCs/>
          <w:color w:val="333333"/>
          <w:sz w:val="22"/>
          <w:szCs w:val="22"/>
          <w:shd w:val="clear" w:color="auto" w:fill="FFFFFF"/>
        </w:rPr>
        <w:t>Leasing operacyjny niekonsumencki 1 kompletnego pojazdu specjalistycznego typu „Śmieciarka</w:t>
      </w:r>
      <w:r w:rsidR="00412709" w:rsidRPr="002F1AF5">
        <w:rPr>
          <w:rFonts w:ascii="Calibri" w:hAnsi="Calibri" w:cs="Calibri"/>
          <w:sz w:val="22"/>
          <w:szCs w:val="22"/>
        </w:rPr>
        <w:t xml:space="preserve"> </w:t>
      </w:r>
      <w:r w:rsidRPr="002F1AF5">
        <w:rPr>
          <w:rFonts w:ascii="Calibri" w:hAnsi="Calibri" w:cs="Calibri"/>
          <w:sz w:val="22"/>
          <w:szCs w:val="22"/>
        </w:rPr>
        <w:t>prowadzonym przez Zamawiającego - PUK Piaseczno Sp. z o.o. w trybie art. 275 pkt 1 (tryb podstawowy bez negocjacji) o wartości zamówienia nieprzekraczającej progów, o których mowa w art. 3 ustawy z dnia 11 września 2019 r. - Prawo zamówień publicznych (nr sprawy: 0</w:t>
      </w:r>
      <w:r w:rsidR="00412709" w:rsidRPr="002F1AF5">
        <w:rPr>
          <w:rFonts w:ascii="Calibri" w:hAnsi="Calibri" w:cs="Calibri"/>
          <w:sz w:val="22"/>
          <w:szCs w:val="22"/>
        </w:rPr>
        <w:t>6</w:t>
      </w:r>
      <w:r w:rsidRPr="002F1AF5">
        <w:rPr>
          <w:rFonts w:ascii="Calibri" w:hAnsi="Calibri" w:cs="Calibri"/>
          <w:sz w:val="22"/>
          <w:szCs w:val="22"/>
        </w:rPr>
        <w:t xml:space="preserve">/2025) oraz otrzymanymi zapytaniami dotyczącymi Specyfikacji Warunków Zamówienia o treści: </w:t>
      </w:r>
    </w:p>
    <w:p w14:paraId="2A8B47BD" w14:textId="77777777" w:rsidR="00850064" w:rsidRPr="002F1AF5" w:rsidRDefault="001071DE">
      <w:pPr>
        <w:spacing w:after="50" w:line="259" w:lineRule="auto"/>
        <w:rPr>
          <w:rFonts w:ascii="Calibri" w:hAnsi="Calibri" w:cs="Calibri"/>
          <w:sz w:val="22"/>
          <w:szCs w:val="22"/>
        </w:rPr>
      </w:pPr>
      <w:r w:rsidRPr="002F1AF5">
        <w:rPr>
          <w:rFonts w:ascii="Calibri" w:hAnsi="Calibri" w:cs="Calibri"/>
          <w:sz w:val="22"/>
          <w:szCs w:val="22"/>
        </w:rPr>
        <w:t xml:space="preserve"> </w:t>
      </w:r>
    </w:p>
    <w:p w14:paraId="4E9B625F" w14:textId="77777777" w:rsidR="00412709" w:rsidRPr="002F1AF5" w:rsidRDefault="00412709" w:rsidP="00412709">
      <w:pPr>
        <w:spacing w:after="58"/>
        <w:ind w:right="7"/>
        <w:jc w:val="both"/>
        <w:rPr>
          <w:rFonts w:ascii="Calibri" w:hAnsi="Calibri" w:cs="Calibri"/>
          <w:b/>
          <w:bCs/>
          <w:sz w:val="22"/>
          <w:szCs w:val="22"/>
        </w:rPr>
      </w:pPr>
      <w:r w:rsidRPr="002F1AF5">
        <w:rPr>
          <w:rFonts w:ascii="Calibri" w:hAnsi="Calibri" w:cs="Calibri"/>
          <w:b/>
          <w:bCs/>
          <w:sz w:val="22"/>
          <w:szCs w:val="22"/>
        </w:rPr>
        <w:t>Pytania dotyczące Szczegółowych Warunków Zamówienia:</w:t>
      </w:r>
    </w:p>
    <w:p w14:paraId="3A19A749" w14:textId="77777777" w:rsidR="00412709" w:rsidRPr="002F1AF5" w:rsidRDefault="00412709" w:rsidP="00412709">
      <w:pPr>
        <w:pStyle w:val="Default"/>
        <w:jc w:val="both"/>
        <w:rPr>
          <w:rFonts w:ascii="Calibri" w:hAnsi="Calibri" w:cs="Calibri"/>
          <w:b/>
          <w:bCs/>
          <w:sz w:val="22"/>
          <w:szCs w:val="22"/>
        </w:rPr>
      </w:pPr>
    </w:p>
    <w:p w14:paraId="33FA21B2" w14:textId="77777777" w:rsidR="00A02795" w:rsidRPr="00A02795" w:rsidRDefault="00A02795" w:rsidP="00412709">
      <w:pPr>
        <w:pStyle w:val="Default"/>
        <w:jc w:val="both"/>
        <w:rPr>
          <w:rFonts w:ascii="Calibri" w:hAnsi="Calibri" w:cs="Calibri"/>
          <w:b/>
          <w:bCs/>
          <w:sz w:val="22"/>
          <w:szCs w:val="22"/>
          <w:u w:val="single"/>
        </w:rPr>
      </w:pPr>
      <w:r w:rsidRPr="00A02795">
        <w:rPr>
          <w:rFonts w:ascii="Calibri" w:hAnsi="Calibri" w:cs="Calibri"/>
          <w:b/>
          <w:bCs/>
          <w:sz w:val="22"/>
          <w:szCs w:val="22"/>
          <w:u w:val="single"/>
        </w:rPr>
        <w:t>Pytanie 1</w:t>
      </w:r>
    </w:p>
    <w:p w14:paraId="05336E05" w14:textId="6346F38C" w:rsidR="00412709" w:rsidRPr="00566124" w:rsidRDefault="00412709" w:rsidP="00412709">
      <w:pPr>
        <w:pStyle w:val="Default"/>
        <w:jc w:val="both"/>
        <w:rPr>
          <w:rFonts w:ascii="Calibri" w:hAnsi="Calibri" w:cs="Calibri"/>
          <w:b/>
          <w:bCs/>
          <w:i/>
          <w:iCs/>
          <w:sz w:val="22"/>
          <w:szCs w:val="22"/>
        </w:rPr>
      </w:pPr>
      <w:r w:rsidRPr="00566124">
        <w:rPr>
          <w:rFonts w:ascii="Calibri" w:hAnsi="Calibri" w:cs="Calibri"/>
          <w:b/>
          <w:bCs/>
          <w:i/>
          <w:iCs/>
          <w:sz w:val="22"/>
          <w:szCs w:val="22"/>
        </w:rPr>
        <w:t xml:space="preserve">W Załączniku Nr 8 do SIWZ Zamawiający wskazuje w § 3 ust. 2: </w:t>
      </w:r>
    </w:p>
    <w:p w14:paraId="211068C5" w14:textId="77777777" w:rsidR="00412709" w:rsidRPr="00566124" w:rsidRDefault="00412709" w:rsidP="00412709">
      <w:pPr>
        <w:pStyle w:val="Default"/>
        <w:jc w:val="both"/>
        <w:rPr>
          <w:rFonts w:ascii="Calibri" w:hAnsi="Calibri" w:cs="Calibri"/>
          <w:b/>
          <w:bCs/>
          <w:i/>
          <w:iCs/>
          <w:sz w:val="22"/>
          <w:szCs w:val="22"/>
        </w:rPr>
      </w:pPr>
      <w:r w:rsidRPr="00566124">
        <w:rPr>
          <w:rFonts w:ascii="Calibri" w:hAnsi="Calibri" w:cs="Calibri"/>
          <w:b/>
          <w:bCs/>
          <w:i/>
          <w:iCs/>
          <w:sz w:val="22"/>
          <w:szCs w:val="22"/>
        </w:rPr>
        <w:t xml:space="preserve">Gwarancja, o której mowa w ust. 1, obejmuje cały przedmiot leasingu bez jakichkolwiek </w:t>
      </w:r>
      <w:proofErr w:type="spellStart"/>
      <w:r w:rsidRPr="00566124">
        <w:rPr>
          <w:rFonts w:ascii="Calibri" w:hAnsi="Calibri" w:cs="Calibri"/>
          <w:b/>
          <w:bCs/>
          <w:i/>
          <w:iCs/>
          <w:sz w:val="22"/>
          <w:szCs w:val="22"/>
        </w:rPr>
        <w:t>wyłączeń</w:t>
      </w:r>
      <w:proofErr w:type="spellEnd"/>
      <w:r w:rsidRPr="00566124">
        <w:rPr>
          <w:rFonts w:ascii="Calibri" w:hAnsi="Calibri" w:cs="Calibri"/>
          <w:b/>
          <w:bCs/>
          <w:i/>
          <w:iCs/>
          <w:sz w:val="22"/>
          <w:szCs w:val="22"/>
        </w:rPr>
        <w:t xml:space="preserve"> wybranych elementów konstrukcyjnych, podzespołów mechanicznych lub części wymiennych, nie dotyczy jednak materiałów eksploatacyjnych. </w:t>
      </w:r>
    </w:p>
    <w:p w14:paraId="0D9014D4" w14:textId="77777777" w:rsidR="00412709" w:rsidRPr="00566124" w:rsidRDefault="00412709" w:rsidP="00412709">
      <w:pPr>
        <w:pStyle w:val="Default"/>
        <w:jc w:val="both"/>
        <w:rPr>
          <w:rFonts w:ascii="Calibri" w:hAnsi="Calibri" w:cs="Calibri"/>
          <w:b/>
          <w:bCs/>
          <w:i/>
          <w:iCs/>
          <w:sz w:val="22"/>
          <w:szCs w:val="22"/>
        </w:rPr>
      </w:pPr>
    </w:p>
    <w:p w14:paraId="277FB132" w14:textId="4C02C5BF" w:rsidR="001E221D" w:rsidRPr="001E221D" w:rsidRDefault="00412709" w:rsidP="00497BA5">
      <w:pPr>
        <w:pStyle w:val="Default"/>
        <w:jc w:val="both"/>
        <w:rPr>
          <w:rFonts w:ascii="Calibri" w:hAnsi="Calibri" w:cs="Calibri"/>
          <w:i/>
          <w:iCs/>
          <w:sz w:val="22"/>
          <w:szCs w:val="22"/>
        </w:rPr>
      </w:pPr>
      <w:r w:rsidRPr="00566124">
        <w:rPr>
          <w:rFonts w:ascii="Calibri" w:hAnsi="Calibri" w:cs="Calibri"/>
          <w:i/>
          <w:iCs/>
          <w:sz w:val="22"/>
          <w:szCs w:val="22"/>
        </w:rPr>
        <w:t>Prosimy o doprecyzowanie, czy gwarancja ma obejmować części wymienne ulegające naturalnemu zużyciu, np.: ślizgi, węże hydrauliczne, klocki hamulcowe, tarcze, wahacze, drążki skrętne itp.)</w:t>
      </w:r>
    </w:p>
    <w:p w14:paraId="28118EF7" w14:textId="77777777" w:rsidR="00412709" w:rsidRPr="00566124" w:rsidRDefault="00412709" w:rsidP="00412709">
      <w:pPr>
        <w:autoSpaceDE w:val="0"/>
        <w:autoSpaceDN w:val="0"/>
        <w:adjustRightInd w:val="0"/>
        <w:jc w:val="both"/>
        <w:rPr>
          <w:rFonts w:ascii="Calibri" w:hAnsi="Calibri" w:cs="Calibri"/>
          <w:b/>
          <w:bCs/>
          <w:i/>
          <w:iCs/>
          <w:color w:val="000000"/>
          <w:sz w:val="22"/>
          <w:szCs w:val="22"/>
          <w:u w:val="single"/>
          <w:lang w:eastAsia="it-IT"/>
        </w:rPr>
      </w:pPr>
    </w:p>
    <w:p w14:paraId="44A66961" w14:textId="7DA7802F" w:rsidR="00412709" w:rsidRPr="002F1AF5" w:rsidRDefault="00412709" w:rsidP="00412709">
      <w:pPr>
        <w:autoSpaceDE w:val="0"/>
        <w:autoSpaceDN w:val="0"/>
        <w:adjustRightInd w:val="0"/>
        <w:jc w:val="both"/>
        <w:rPr>
          <w:rFonts w:ascii="Calibri" w:hAnsi="Calibri" w:cs="Calibri"/>
          <w:b/>
          <w:bCs/>
          <w:color w:val="000000"/>
          <w:sz w:val="22"/>
          <w:szCs w:val="22"/>
          <w:u w:val="single"/>
          <w:lang w:eastAsia="it-IT"/>
        </w:rPr>
      </w:pPr>
      <w:r w:rsidRPr="002F1AF5">
        <w:rPr>
          <w:rFonts w:ascii="Calibri" w:hAnsi="Calibri" w:cs="Calibri"/>
          <w:b/>
          <w:bCs/>
          <w:sz w:val="22"/>
          <w:szCs w:val="22"/>
          <w:u w:val="single"/>
          <w:lang w:eastAsia="it-IT"/>
        </w:rPr>
        <w:lastRenderedPageBreak/>
        <w:t xml:space="preserve">Pytanie </w:t>
      </w:r>
      <w:r w:rsidR="00A02795">
        <w:rPr>
          <w:rFonts w:ascii="Calibri" w:hAnsi="Calibri" w:cs="Calibri"/>
          <w:b/>
          <w:bCs/>
          <w:sz w:val="22"/>
          <w:szCs w:val="22"/>
          <w:u w:val="single"/>
          <w:lang w:eastAsia="it-IT"/>
        </w:rPr>
        <w:t>2</w:t>
      </w:r>
      <w:r w:rsidRPr="002F1AF5">
        <w:rPr>
          <w:rFonts w:ascii="Calibri" w:hAnsi="Calibri" w:cs="Calibri"/>
          <w:b/>
          <w:bCs/>
          <w:sz w:val="22"/>
          <w:szCs w:val="22"/>
          <w:u w:val="single"/>
          <w:lang w:eastAsia="it-IT"/>
        </w:rPr>
        <w:t xml:space="preserve"> </w:t>
      </w:r>
    </w:p>
    <w:p w14:paraId="1E5DD361" w14:textId="66E87E5E" w:rsidR="00412709" w:rsidRPr="002F1AF5" w:rsidRDefault="00412709" w:rsidP="00412709">
      <w:pPr>
        <w:autoSpaceDE w:val="0"/>
        <w:autoSpaceDN w:val="0"/>
        <w:adjustRightInd w:val="0"/>
        <w:ind w:left="10" w:hanging="10"/>
        <w:jc w:val="both"/>
        <w:rPr>
          <w:rFonts w:ascii="Calibri" w:hAnsi="Calibri" w:cs="Calibri"/>
          <w:b/>
          <w:bCs/>
          <w:i/>
          <w:iCs/>
          <w:sz w:val="22"/>
          <w:szCs w:val="22"/>
        </w:rPr>
      </w:pPr>
      <w:r w:rsidRPr="002F1AF5">
        <w:rPr>
          <w:rFonts w:ascii="Calibri" w:hAnsi="Calibri" w:cs="Calibri"/>
          <w:b/>
          <w:bCs/>
          <w:i/>
          <w:iCs/>
          <w:sz w:val="22"/>
          <w:szCs w:val="22"/>
        </w:rPr>
        <w:t>skrzynia biegów automatyczna posiadająca co najmniej 6 przełożeń (Zamawiający nie dopuszcza zaoferowania samochodu wyposażonych w skrzynię biegów zautomatyzowaną).</w:t>
      </w:r>
    </w:p>
    <w:p w14:paraId="4B318B85" w14:textId="77777777" w:rsidR="00497BA5" w:rsidRDefault="00497BA5" w:rsidP="00412709">
      <w:pPr>
        <w:autoSpaceDE w:val="0"/>
        <w:autoSpaceDN w:val="0"/>
        <w:adjustRightInd w:val="0"/>
        <w:jc w:val="both"/>
        <w:rPr>
          <w:rFonts w:ascii="Calibri" w:hAnsi="Calibri" w:cs="Calibri"/>
          <w:i/>
          <w:iCs/>
          <w:sz w:val="22"/>
          <w:szCs w:val="22"/>
        </w:rPr>
      </w:pPr>
    </w:p>
    <w:p w14:paraId="22EE3CBD" w14:textId="77777777" w:rsidR="00857D1F" w:rsidRDefault="00412709" w:rsidP="00412709">
      <w:pPr>
        <w:autoSpaceDE w:val="0"/>
        <w:autoSpaceDN w:val="0"/>
        <w:adjustRightInd w:val="0"/>
        <w:jc w:val="both"/>
        <w:rPr>
          <w:rFonts w:ascii="Calibri" w:hAnsi="Calibri" w:cs="Calibri"/>
          <w:i/>
          <w:iCs/>
          <w:sz w:val="22"/>
          <w:szCs w:val="22"/>
        </w:rPr>
      </w:pPr>
      <w:r w:rsidRPr="002F1AF5">
        <w:rPr>
          <w:rFonts w:ascii="Calibri" w:hAnsi="Calibri" w:cs="Calibri"/>
          <w:i/>
          <w:iCs/>
          <w:sz w:val="22"/>
          <w:szCs w:val="22"/>
        </w:rPr>
        <w:t>Prosimy o dopuszczenie rozwiązania równoważnego w postaci skrzyni biegów zautomatyzowanej, 12</w:t>
      </w:r>
      <w:r w:rsidRPr="002F1AF5">
        <w:rPr>
          <w:rFonts w:ascii="Calibri" w:hAnsi="Calibri" w:cs="Calibri"/>
          <w:i/>
          <w:iCs/>
          <w:sz w:val="22"/>
          <w:szCs w:val="22"/>
        </w:rPr>
        <w:noBreakHyphen/>
        <w:t xml:space="preserve">biegowej, bez pedału sprzęgła (ze wzmocnionym sprzęgłem przystosowanym do śmieciarek). </w:t>
      </w:r>
    </w:p>
    <w:p w14:paraId="2632F7FD" w14:textId="77777777" w:rsidR="00857D1F" w:rsidRDefault="00857D1F" w:rsidP="00412709">
      <w:pPr>
        <w:autoSpaceDE w:val="0"/>
        <w:autoSpaceDN w:val="0"/>
        <w:adjustRightInd w:val="0"/>
        <w:jc w:val="both"/>
        <w:rPr>
          <w:rFonts w:ascii="Calibri" w:hAnsi="Calibri" w:cs="Calibri"/>
          <w:i/>
          <w:iCs/>
          <w:sz w:val="22"/>
          <w:szCs w:val="22"/>
        </w:rPr>
      </w:pPr>
    </w:p>
    <w:p w14:paraId="1082F1E1" w14:textId="289CE612" w:rsidR="00412709" w:rsidRPr="002F1AF5" w:rsidRDefault="00412709" w:rsidP="00412709">
      <w:pPr>
        <w:autoSpaceDE w:val="0"/>
        <w:autoSpaceDN w:val="0"/>
        <w:adjustRightInd w:val="0"/>
        <w:jc w:val="both"/>
        <w:rPr>
          <w:rFonts w:ascii="Calibri" w:hAnsi="Calibri" w:cs="Calibri"/>
          <w:i/>
          <w:iCs/>
          <w:sz w:val="22"/>
          <w:szCs w:val="22"/>
        </w:rPr>
      </w:pPr>
      <w:r w:rsidRPr="002F1AF5">
        <w:rPr>
          <w:rFonts w:ascii="Calibri" w:hAnsi="Calibri" w:cs="Calibri"/>
          <w:i/>
          <w:iCs/>
          <w:sz w:val="22"/>
          <w:szCs w:val="22"/>
        </w:rPr>
        <w:t>Skrzynia biegów zautomatyzowana bez pedału sprzęgła jest funkcjonalnie rozwiązaniem tożsamym ze skrzynią automatyczną. Zastosowanie wzmocnionego sprzęgła przystosowanego do śmieciarek zapewnia taką samą trwałość tego rozwiązania jak skrzynia biegów automatyczna. Skrzynia biegów zautomatyzowana jest tańsza w zakupie oraz późniejszej eksploatacji.</w:t>
      </w:r>
    </w:p>
    <w:p w14:paraId="6E3250CC" w14:textId="77777777" w:rsidR="00857D1F" w:rsidRDefault="00857D1F" w:rsidP="00412709">
      <w:pPr>
        <w:autoSpaceDE w:val="0"/>
        <w:autoSpaceDN w:val="0"/>
        <w:adjustRightInd w:val="0"/>
        <w:jc w:val="both"/>
        <w:rPr>
          <w:rFonts w:ascii="Calibri" w:hAnsi="Calibri" w:cs="Calibri"/>
          <w:i/>
          <w:iCs/>
          <w:sz w:val="22"/>
          <w:szCs w:val="22"/>
        </w:rPr>
      </w:pPr>
    </w:p>
    <w:p w14:paraId="0A85FCB7" w14:textId="77777777" w:rsidR="00412709" w:rsidRPr="002F1AF5" w:rsidRDefault="00412709" w:rsidP="00412709">
      <w:pPr>
        <w:autoSpaceDE w:val="0"/>
        <w:autoSpaceDN w:val="0"/>
        <w:adjustRightInd w:val="0"/>
        <w:jc w:val="both"/>
        <w:rPr>
          <w:rFonts w:ascii="Calibri" w:hAnsi="Calibri" w:cs="Calibri"/>
          <w:i/>
          <w:iCs/>
          <w:sz w:val="22"/>
          <w:szCs w:val="22"/>
        </w:rPr>
      </w:pPr>
      <w:r w:rsidRPr="002F1AF5">
        <w:rPr>
          <w:rFonts w:ascii="Calibri" w:hAnsi="Calibri" w:cs="Calibri"/>
          <w:i/>
          <w:iCs/>
          <w:sz w:val="22"/>
          <w:szCs w:val="22"/>
        </w:rPr>
        <w:t xml:space="preserve">Dodatkowo w przypadku dopuszczenia skrzyni biegów zautomatyzowanej, Wykonawca gwarantuje znaczące skrócenie terminu dostawy gotowego pojazdu. </w:t>
      </w:r>
    </w:p>
    <w:p w14:paraId="49C8443A" w14:textId="77777777" w:rsidR="00857D1F" w:rsidRDefault="00857D1F" w:rsidP="00412709">
      <w:pPr>
        <w:autoSpaceDE w:val="0"/>
        <w:autoSpaceDN w:val="0"/>
        <w:adjustRightInd w:val="0"/>
        <w:jc w:val="both"/>
        <w:rPr>
          <w:rFonts w:ascii="Calibri" w:hAnsi="Calibri" w:cs="Calibri"/>
          <w:i/>
          <w:iCs/>
          <w:color w:val="000000"/>
          <w:sz w:val="22"/>
          <w:szCs w:val="22"/>
        </w:rPr>
      </w:pPr>
    </w:p>
    <w:p w14:paraId="513C9FE4" w14:textId="77777777" w:rsidR="00412709" w:rsidRPr="002F1AF5" w:rsidRDefault="00412709" w:rsidP="00412709">
      <w:pPr>
        <w:autoSpaceDE w:val="0"/>
        <w:autoSpaceDN w:val="0"/>
        <w:adjustRightInd w:val="0"/>
        <w:jc w:val="both"/>
        <w:rPr>
          <w:rFonts w:ascii="Calibri" w:hAnsi="Calibri" w:cs="Calibri"/>
          <w:i/>
          <w:iCs/>
          <w:color w:val="000000"/>
          <w:sz w:val="22"/>
          <w:szCs w:val="22"/>
        </w:rPr>
      </w:pPr>
      <w:r w:rsidRPr="002F1AF5">
        <w:rPr>
          <w:rFonts w:ascii="Calibri" w:hAnsi="Calibri" w:cs="Calibri"/>
          <w:i/>
          <w:iCs/>
          <w:color w:val="000000"/>
          <w:sz w:val="22"/>
          <w:szCs w:val="22"/>
        </w:rPr>
        <w:t>Skrzynię biegów zautomatyzowaną cechuje:</w:t>
      </w:r>
    </w:p>
    <w:p w14:paraId="1DCEDC80" w14:textId="77777777" w:rsidR="00412709" w:rsidRPr="002F1AF5" w:rsidRDefault="00412709" w:rsidP="00412709">
      <w:pPr>
        <w:numPr>
          <w:ilvl w:val="0"/>
          <w:numId w:val="2"/>
        </w:numPr>
        <w:autoSpaceDE w:val="0"/>
        <w:autoSpaceDN w:val="0"/>
        <w:adjustRightInd w:val="0"/>
        <w:jc w:val="both"/>
        <w:rPr>
          <w:rFonts w:ascii="Calibri" w:hAnsi="Calibri" w:cs="Calibri"/>
          <w:i/>
          <w:iCs/>
          <w:color w:val="000000"/>
          <w:sz w:val="22"/>
          <w:szCs w:val="22"/>
        </w:rPr>
      </w:pPr>
      <w:r w:rsidRPr="002F1AF5">
        <w:rPr>
          <w:rFonts w:ascii="Calibri" w:hAnsi="Calibri" w:cs="Calibri"/>
          <w:i/>
          <w:iCs/>
          <w:color w:val="000000"/>
          <w:sz w:val="22"/>
          <w:szCs w:val="22"/>
        </w:rPr>
        <w:t xml:space="preserve">Brak pedału sprzęgła </w:t>
      </w:r>
    </w:p>
    <w:p w14:paraId="23EDD8D8" w14:textId="77777777" w:rsidR="00412709" w:rsidRPr="002F1AF5" w:rsidRDefault="00412709" w:rsidP="00412709">
      <w:pPr>
        <w:numPr>
          <w:ilvl w:val="0"/>
          <w:numId w:val="2"/>
        </w:numPr>
        <w:autoSpaceDE w:val="0"/>
        <w:autoSpaceDN w:val="0"/>
        <w:adjustRightInd w:val="0"/>
        <w:jc w:val="both"/>
        <w:rPr>
          <w:rFonts w:ascii="Calibri" w:hAnsi="Calibri" w:cs="Calibri"/>
          <w:i/>
          <w:iCs/>
          <w:color w:val="000000"/>
          <w:sz w:val="22"/>
          <w:szCs w:val="22"/>
        </w:rPr>
      </w:pPr>
      <w:r w:rsidRPr="002F1AF5">
        <w:rPr>
          <w:rFonts w:ascii="Calibri" w:hAnsi="Calibri" w:cs="Calibri"/>
          <w:i/>
          <w:iCs/>
          <w:color w:val="000000"/>
          <w:sz w:val="22"/>
          <w:szCs w:val="22"/>
        </w:rPr>
        <w:t>Biegi zmieniane automatycznie – przez komputer sterujący</w:t>
      </w:r>
    </w:p>
    <w:p w14:paraId="76A48EBD" w14:textId="77777777" w:rsidR="00412709" w:rsidRPr="002F1AF5" w:rsidRDefault="00412709" w:rsidP="00412709">
      <w:pPr>
        <w:numPr>
          <w:ilvl w:val="0"/>
          <w:numId w:val="2"/>
        </w:numPr>
        <w:autoSpaceDE w:val="0"/>
        <w:autoSpaceDN w:val="0"/>
        <w:adjustRightInd w:val="0"/>
        <w:jc w:val="both"/>
        <w:rPr>
          <w:rFonts w:ascii="Calibri" w:hAnsi="Calibri" w:cs="Calibri"/>
          <w:i/>
          <w:iCs/>
          <w:color w:val="000000"/>
          <w:sz w:val="22"/>
          <w:szCs w:val="22"/>
        </w:rPr>
      </w:pPr>
      <w:r w:rsidRPr="002F1AF5">
        <w:rPr>
          <w:rFonts w:ascii="Calibri" w:hAnsi="Calibri" w:cs="Calibri"/>
          <w:i/>
          <w:iCs/>
          <w:color w:val="000000"/>
          <w:sz w:val="22"/>
          <w:szCs w:val="22"/>
        </w:rPr>
        <w:t>Podstawa mechaniczna jak w skrzyni manualnej – rozwiązanie tańsze w naprawach oraz możliwość naprawy w większej ilości serwisów</w:t>
      </w:r>
    </w:p>
    <w:p w14:paraId="2204D250" w14:textId="77777777" w:rsidR="00412709" w:rsidRPr="002F1AF5" w:rsidRDefault="00412709" w:rsidP="00412709">
      <w:pPr>
        <w:numPr>
          <w:ilvl w:val="0"/>
          <w:numId w:val="2"/>
        </w:numPr>
        <w:autoSpaceDE w:val="0"/>
        <w:autoSpaceDN w:val="0"/>
        <w:adjustRightInd w:val="0"/>
        <w:jc w:val="both"/>
        <w:rPr>
          <w:rFonts w:ascii="Calibri" w:hAnsi="Calibri" w:cs="Calibri"/>
          <w:i/>
          <w:iCs/>
          <w:color w:val="000000"/>
          <w:sz w:val="22"/>
          <w:szCs w:val="22"/>
        </w:rPr>
      </w:pPr>
      <w:r w:rsidRPr="002F1AF5">
        <w:rPr>
          <w:rFonts w:ascii="Calibri" w:hAnsi="Calibri" w:cs="Calibri"/>
          <w:i/>
          <w:iCs/>
          <w:color w:val="000000"/>
          <w:sz w:val="22"/>
          <w:szCs w:val="22"/>
        </w:rPr>
        <w:t>Jest tańsza w produkcji w porównaniu ze skrzynią automatyczną - różnica w zakupie pojazdu ze skrzynią automatyczną a skrzynią zautomatyzowana to koszt. ok 35 do 40 tyś zł netto w zależności od producenta podwozia</w:t>
      </w:r>
    </w:p>
    <w:p w14:paraId="2E04FEE3" w14:textId="77777777" w:rsidR="00412709" w:rsidRPr="002F1AF5" w:rsidRDefault="00412709" w:rsidP="00412709">
      <w:pPr>
        <w:autoSpaceDE w:val="0"/>
        <w:autoSpaceDN w:val="0"/>
        <w:adjustRightInd w:val="0"/>
        <w:ind w:left="360"/>
        <w:jc w:val="both"/>
        <w:rPr>
          <w:rFonts w:ascii="Calibri" w:hAnsi="Calibri" w:cs="Calibri"/>
          <w:color w:val="000000"/>
          <w:sz w:val="22"/>
          <w:szCs w:val="22"/>
        </w:rPr>
      </w:pPr>
    </w:p>
    <w:p w14:paraId="10B30A4F" w14:textId="3F12FCCC" w:rsidR="00412709" w:rsidRPr="002F1AF5" w:rsidRDefault="00412709" w:rsidP="00412709">
      <w:pPr>
        <w:autoSpaceDE w:val="0"/>
        <w:autoSpaceDN w:val="0"/>
        <w:adjustRightInd w:val="0"/>
        <w:jc w:val="both"/>
        <w:rPr>
          <w:rFonts w:ascii="Calibri" w:hAnsi="Calibri" w:cs="Calibri"/>
          <w:b/>
          <w:bCs/>
          <w:color w:val="000000"/>
          <w:sz w:val="22"/>
          <w:szCs w:val="22"/>
          <w:u w:val="single"/>
        </w:rPr>
      </w:pPr>
      <w:r w:rsidRPr="002F1AF5">
        <w:rPr>
          <w:rFonts w:ascii="Calibri" w:hAnsi="Calibri" w:cs="Calibri"/>
          <w:b/>
          <w:bCs/>
          <w:sz w:val="22"/>
          <w:szCs w:val="22"/>
          <w:u w:val="single"/>
        </w:rPr>
        <w:t xml:space="preserve">Pytanie </w:t>
      </w:r>
      <w:r w:rsidR="00A02795">
        <w:rPr>
          <w:rFonts w:ascii="Calibri" w:hAnsi="Calibri" w:cs="Calibri"/>
          <w:b/>
          <w:bCs/>
          <w:sz w:val="22"/>
          <w:szCs w:val="22"/>
          <w:u w:val="single"/>
        </w:rPr>
        <w:t>3</w:t>
      </w:r>
    </w:p>
    <w:p w14:paraId="570A1C0E" w14:textId="71B95658" w:rsidR="00412709" w:rsidRPr="002F1AF5" w:rsidRDefault="00857D1F" w:rsidP="00857D1F">
      <w:pPr>
        <w:autoSpaceDE w:val="0"/>
        <w:autoSpaceDN w:val="0"/>
        <w:adjustRightInd w:val="0"/>
        <w:spacing w:after="268" w:line="249" w:lineRule="auto"/>
        <w:ind w:left="10" w:hanging="10"/>
        <w:jc w:val="both"/>
        <w:rPr>
          <w:rFonts w:ascii="Calibri" w:hAnsi="Calibri" w:cs="Calibri"/>
          <w:i/>
          <w:iCs/>
          <w:sz w:val="22"/>
          <w:szCs w:val="22"/>
        </w:rPr>
      </w:pPr>
      <w:r>
        <w:rPr>
          <w:rFonts w:ascii="Calibri" w:hAnsi="Calibri" w:cs="Calibri"/>
          <w:i/>
          <w:iCs/>
          <w:color w:val="000000"/>
          <w:sz w:val="22"/>
          <w:szCs w:val="22"/>
        </w:rPr>
        <w:t>L</w:t>
      </w:r>
      <w:r w:rsidR="00412709" w:rsidRPr="002F1AF5">
        <w:rPr>
          <w:rFonts w:ascii="Calibri" w:hAnsi="Calibri" w:cs="Calibri"/>
          <w:i/>
          <w:iCs/>
          <w:color w:val="000000"/>
          <w:sz w:val="22"/>
          <w:szCs w:val="22"/>
        </w:rPr>
        <w:t xml:space="preserve">usterka sterowane elektrycznie i podgrzewane, z zastrzeżeniem, że lusterko krawężnikowe prawe oraz lusterko </w:t>
      </w:r>
      <w:proofErr w:type="spellStart"/>
      <w:r w:rsidR="00412709" w:rsidRPr="002F1AF5">
        <w:rPr>
          <w:rFonts w:ascii="Calibri" w:hAnsi="Calibri" w:cs="Calibri"/>
          <w:i/>
          <w:iCs/>
          <w:color w:val="000000"/>
          <w:sz w:val="22"/>
          <w:szCs w:val="22"/>
        </w:rPr>
        <w:t>rampowe</w:t>
      </w:r>
      <w:proofErr w:type="spellEnd"/>
      <w:r w:rsidR="00412709" w:rsidRPr="002F1AF5">
        <w:rPr>
          <w:rFonts w:ascii="Calibri" w:hAnsi="Calibri" w:cs="Calibri"/>
          <w:i/>
          <w:iCs/>
          <w:color w:val="000000"/>
          <w:sz w:val="22"/>
          <w:szCs w:val="22"/>
        </w:rPr>
        <w:t xml:space="preserve"> (dojazdowe) mogą nie posiadać sterowania elektrycznego, a lusterka szerokokątne mogą nie posiadać systemu podgrzewania</w:t>
      </w:r>
    </w:p>
    <w:p w14:paraId="39E32AC4" w14:textId="77777777" w:rsidR="00412709" w:rsidRPr="002F1AF5" w:rsidRDefault="00412709" w:rsidP="00857D1F">
      <w:pPr>
        <w:spacing w:after="160" w:line="259" w:lineRule="auto"/>
        <w:jc w:val="both"/>
        <w:rPr>
          <w:rFonts w:ascii="Calibri" w:hAnsi="Calibri" w:cs="Calibri"/>
          <w:i/>
          <w:iCs/>
          <w:sz w:val="22"/>
          <w:szCs w:val="22"/>
        </w:rPr>
      </w:pPr>
      <w:r w:rsidRPr="002F1AF5">
        <w:rPr>
          <w:rFonts w:ascii="Calibri" w:hAnsi="Calibri" w:cs="Calibri"/>
          <w:i/>
          <w:iCs/>
          <w:sz w:val="22"/>
          <w:szCs w:val="22"/>
        </w:rPr>
        <w:t xml:space="preserve">Prosimy o dopuszczenie rozwiązania, w którym lusterka wsteczne i szerokokątne są sterowane elektrycznie i podgrzewane, a lusterko krawężnikowe i </w:t>
      </w:r>
      <w:proofErr w:type="spellStart"/>
      <w:r w:rsidRPr="002F1AF5">
        <w:rPr>
          <w:rFonts w:ascii="Calibri" w:hAnsi="Calibri" w:cs="Calibri"/>
          <w:i/>
          <w:iCs/>
          <w:sz w:val="22"/>
          <w:szCs w:val="22"/>
        </w:rPr>
        <w:t>rampowe</w:t>
      </w:r>
      <w:proofErr w:type="spellEnd"/>
      <w:r w:rsidRPr="002F1AF5">
        <w:rPr>
          <w:rFonts w:ascii="Calibri" w:hAnsi="Calibri" w:cs="Calibri"/>
          <w:i/>
          <w:iCs/>
          <w:sz w:val="22"/>
          <w:szCs w:val="22"/>
        </w:rPr>
        <w:t xml:space="preserve"> są sterowane ręcznie i niepodgrzewane. </w:t>
      </w:r>
    </w:p>
    <w:p w14:paraId="77CDD111" w14:textId="77777777" w:rsidR="002F1AF5" w:rsidRDefault="002F1AF5">
      <w:pPr>
        <w:spacing w:after="31" w:line="259" w:lineRule="auto"/>
        <w:rPr>
          <w:rFonts w:ascii="Open Sans" w:hAnsi="Open Sans" w:cs="Open Sans"/>
          <w:color w:val="333333"/>
          <w:sz w:val="20"/>
          <w:szCs w:val="20"/>
          <w:shd w:val="clear" w:color="auto" w:fill="FFFFFF"/>
        </w:rPr>
      </w:pPr>
    </w:p>
    <w:p w14:paraId="3F342F11" w14:textId="7BB2C117" w:rsidR="002F1AF5" w:rsidRPr="002F1AF5" w:rsidRDefault="002F1AF5">
      <w:pPr>
        <w:spacing w:after="31" w:line="259" w:lineRule="auto"/>
        <w:rPr>
          <w:rFonts w:ascii="Open Sans" w:hAnsi="Open Sans" w:cs="Open Sans"/>
          <w:b/>
          <w:bCs/>
          <w:color w:val="333333"/>
          <w:sz w:val="20"/>
          <w:szCs w:val="20"/>
          <w:shd w:val="clear" w:color="auto" w:fill="FFFFFF"/>
        </w:rPr>
      </w:pPr>
      <w:r w:rsidRPr="002F1AF5">
        <w:rPr>
          <w:rFonts w:ascii="Open Sans" w:hAnsi="Open Sans" w:cs="Open Sans"/>
          <w:b/>
          <w:bCs/>
          <w:color w:val="333333"/>
          <w:sz w:val="20"/>
          <w:szCs w:val="20"/>
          <w:shd w:val="clear" w:color="auto" w:fill="FFFFFF"/>
        </w:rPr>
        <w:t xml:space="preserve">Pytanie </w:t>
      </w:r>
      <w:r w:rsidR="00A02795">
        <w:rPr>
          <w:rFonts w:ascii="Open Sans" w:hAnsi="Open Sans" w:cs="Open Sans"/>
          <w:b/>
          <w:bCs/>
          <w:color w:val="333333"/>
          <w:sz w:val="20"/>
          <w:szCs w:val="20"/>
          <w:shd w:val="clear" w:color="auto" w:fill="FFFFFF"/>
        </w:rPr>
        <w:t>4</w:t>
      </w:r>
    </w:p>
    <w:p w14:paraId="3E6FE4D3" w14:textId="77777777" w:rsidR="00857D1F" w:rsidRDefault="002F1AF5" w:rsidP="00857D1F">
      <w:pPr>
        <w:spacing w:after="160" w:line="259" w:lineRule="auto"/>
        <w:jc w:val="both"/>
        <w:rPr>
          <w:rFonts w:ascii="Calibri" w:hAnsi="Calibri" w:cs="Calibri"/>
          <w:i/>
          <w:iCs/>
          <w:sz w:val="22"/>
          <w:szCs w:val="22"/>
        </w:rPr>
      </w:pPr>
      <w:r w:rsidRPr="00857D1F">
        <w:rPr>
          <w:rFonts w:ascii="Calibri" w:hAnsi="Calibri" w:cs="Calibri"/>
          <w:i/>
          <w:iCs/>
          <w:sz w:val="22"/>
          <w:szCs w:val="22"/>
        </w:rPr>
        <w:t xml:space="preserve">Zamawiający określił w OPZ: "ściany zabudowy gładkie bez przetłoczeń wykonane z blachy stalowej o grubości co najmniej 4 mm. oraz </w:t>
      </w:r>
      <w:r w:rsidR="00857D1F">
        <w:rPr>
          <w:rFonts w:ascii="Calibri" w:hAnsi="Calibri" w:cs="Calibri"/>
          <w:i/>
          <w:iCs/>
          <w:sz w:val="22"/>
          <w:szCs w:val="22"/>
        </w:rPr>
        <w:t>o twardości co najmniej HB 400"</w:t>
      </w:r>
      <w:r w:rsidRPr="00857D1F">
        <w:rPr>
          <w:rFonts w:ascii="Calibri" w:hAnsi="Calibri" w:cs="Calibri"/>
          <w:i/>
          <w:iCs/>
          <w:sz w:val="22"/>
          <w:szCs w:val="22"/>
        </w:rPr>
        <w:t>.</w:t>
      </w:r>
    </w:p>
    <w:p w14:paraId="26EB4685" w14:textId="4E9939B0" w:rsidR="00850064" w:rsidRPr="002F1AF5" w:rsidRDefault="002F1AF5" w:rsidP="00857D1F">
      <w:pPr>
        <w:spacing w:after="160" w:line="259" w:lineRule="auto"/>
        <w:jc w:val="both"/>
        <w:rPr>
          <w:rFonts w:ascii="Calibri" w:hAnsi="Calibri" w:cs="Calibri"/>
          <w:i/>
          <w:iCs/>
          <w:sz w:val="22"/>
          <w:szCs w:val="22"/>
        </w:rPr>
      </w:pPr>
      <w:r w:rsidRPr="00857D1F">
        <w:rPr>
          <w:rFonts w:ascii="Calibri" w:hAnsi="Calibri" w:cs="Calibri"/>
          <w:i/>
          <w:iCs/>
          <w:sz w:val="22"/>
          <w:szCs w:val="22"/>
        </w:rPr>
        <w:t>Blachę o podwyższonej ścieralności stosuje się w podłodze skrzyni ładunkowej lub w odwłoku smieciarki tam gdzie dochodzi do największego tarcia. Czy Zamawiający dopuści ściany skrzyni ładunkowej wykonane z blachy stalowej konstrukcyjnej o grubości 4 mm?</w:t>
      </w:r>
    </w:p>
    <w:p w14:paraId="4E9CDB76" w14:textId="77777777" w:rsidR="002F1AF5" w:rsidRDefault="002F1AF5" w:rsidP="00857D1F">
      <w:pPr>
        <w:spacing w:line="259" w:lineRule="auto"/>
        <w:ind w:right="9"/>
        <w:rPr>
          <w:rFonts w:ascii="Calibri" w:hAnsi="Calibri" w:cs="Calibri"/>
          <w:b/>
          <w:sz w:val="22"/>
          <w:szCs w:val="22"/>
        </w:rPr>
      </w:pPr>
    </w:p>
    <w:p w14:paraId="10A4ACA8" w14:textId="77777777" w:rsidR="00497BA5" w:rsidRDefault="00497BA5">
      <w:pPr>
        <w:spacing w:line="259" w:lineRule="auto"/>
        <w:ind w:right="9"/>
        <w:jc w:val="center"/>
        <w:rPr>
          <w:rFonts w:ascii="Calibri" w:hAnsi="Calibri" w:cs="Calibri"/>
          <w:b/>
          <w:sz w:val="22"/>
          <w:szCs w:val="22"/>
        </w:rPr>
      </w:pPr>
    </w:p>
    <w:p w14:paraId="2AFD32B6" w14:textId="3621ED64" w:rsidR="00850064" w:rsidRPr="002F1AF5" w:rsidRDefault="001071DE">
      <w:pPr>
        <w:spacing w:line="259" w:lineRule="auto"/>
        <w:ind w:right="9"/>
        <w:jc w:val="center"/>
        <w:rPr>
          <w:rFonts w:ascii="Calibri" w:hAnsi="Calibri" w:cs="Calibri"/>
          <w:sz w:val="22"/>
          <w:szCs w:val="22"/>
        </w:rPr>
      </w:pPr>
      <w:r w:rsidRPr="002F1AF5">
        <w:rPr>
          <w:rFonts w:ascii="Calibri" w:hAnsi="Calibri" w:cs="Calibri"/>
          <w:b/>
          <w:sz w:val="22"/>
          <w:szCs w:val="22"/>
        </w:rPr>
        <w:t xml:space="preserve">Zamawiający wyjaśnia co następuje: </w:t>
      </w:r>
    </w:p>
    <w:p w14:paraId="5AE809C8" w14:textId="2EE3D161" w:rsidR="001E221D" w:rsidRPr="00497BA5" w:rsidRDefault="00857D1F" w:rsidP="001E221D">
      <w:pPr>
        <w:spacing w:before="100" w:beforeAutospacing="1" w:after="100" w:afterAutospacing="1"/>
        <w:rPr>
          <w:rFonts w:ascii="Calibri" w:hAnsi="Calibri" w:cs="Calibri"/>
          <w:b/>
          <w:bCs/>
          <w:sz w:val="22"/>
          <w:szCs w:val="22"/>
        </w:rPr>
      </w:pPr>
      <w:r>
        <w:rPr>
          <w:rFonts w:ascii="Calibri" w:hAnsi="Calibri" w:cs="Calibri"/>
          <w:b/>
          <w:bCs/>
          <w:sz w:val="22"/>
          <w:szCs w:val="22"/>
        </w:rPr>
        <w:t>Odp. a</w:t>
      </w:r>
      <w:r w:rsidR="001E221D" w:rsidRPr="00497BA5">
        <w:rPr>
          <w:rFonts w:ascii="Calibri" w:hAnsi="Calibri" w:cs="Calibri"/>
          <w:b/>
          <w:bCs/>
          <w:sz w:val="22"/>
          <w:szCs w:val="22"/>
        </w:rPr>
        <w:t>d 1)</w:t>
      </w:r>
    </w:p>
    <w:p w14:paraId="1E0DED1F" w14:textId="4C25A2EC" w:rsidR="001E221D" w:rsidRPr="00497BA5" w:rsidRDefault="001E221D" w:rsidP="001E221D">
      <w:pPr>
        <w:pStyle w:val="Bezodstpw"/>
        <w:rPr>
          <w:rFonts w:ascii="Calibri" w:hAnsi="Calibri" w:cs="Calibri"/>
          <w:sz w:val="22"/>
          <w:szCs w:val="22"/>
        </w:rPr>
      </w:pPr>
      <w:r w:rsidRPr="00497BA5">
        <w:rPr>
          <w:rFonts w:ascii="Calibri" w:hAnsi="Calibri" w:cs="Calibri"/>
          <w:sz w:val="22"/>
          <w:szCs w:val="22"/>
        </w:rPr>
        <w:t>Zgodnie z § 3 ust. 2 Załącznika Nr 8 do SIWZ:</w:t>
      </w:r>
    </w:p>
    <w:p w14:paraId="174E8C31" w14:textId="77777777" w:rsidR="001E221D" w:rsidRPr="00497BA5" w:rsidRDefault="001E221D" w:rsidP="001E221D">
      <w:pPr>
        <w:pStyle w:val="Bezodstpw"/>
        <w:rPr>
          <w:rFonts w:ascii="Calibri" w:hAnsi="Calibri" w:cs="Calibri"/>
          <w:sz w:val="22"/>
          <w:szCs w:val="22"/>
        </w:rPr>
      </w:pPr>
    </w:p>
    <w:p w14:paraId="3B64E3AE" w14:textId="77777777" w:rsidR="001E221D" w:rsidRPr="00497BA5" w:rsidRDefault="001E221D" w:rsidP="001E221D">
      <w:pPr>
        <w:pStyle w:val="Bezodstpw"/>
        <w:rPr>
          <w:rFonts w:ascii="Calibri" w:hAnsi="Calibri" w:cs="Calibri"/>
          <w:color w:val="0E0E0E"/>
          <w:sz w:val="22"/>
          <w:szCs w:val="22"/>
        </w:rPr>
      </w:pPr>
      <w:r w:rsidRPr="00497BA5">
        <w:rPr>
          <w:rFonts w:ascii="Calibri" w:hAnsi="Calibri" w:cs="Calibri"/>
          <w:color w:val="0E0E0E"/>
          <w:sz w:val="22"/>
          <w:szCs w:val="22"/>
        </w:rPr>
        <w:t xml:space="preserve">„Gwarancja, o której mowa w ust. 1, obejmuje cały przedmiot leasingu bez jakichkolwiek </w:t>
      </w:r>
      <w:proofErr w:type="spellStart"/>
      <w:r w:rsidRPr="00497BA5">
        <w:rPr>
          <w:rFonts w:ascii="Calibri" w:hAnsi="Calibri" w:cs="Calibri"/>
          <w:color w:val="0E0E0E"/>
          <w:sz w:val="22"/>
          <w:szCs w:val="22"/>
        </w:rPr>
        <w:t>wyłączeń</w:t>
      </w:r>
      <w:proofErr w:type="spellEnd"/>
      <w:r w:rsidRPr="00497BA5">
        <w:rPr>
          <w:rFonts w:ascii="Calibri" w:hAnsi="Calibri" w:cs="Calibri"/>
          <w:color w:val="0E0E0E"/>
          <w:sz w:val="22"/>
          <w:szCs w:val="22"/>
        </w:rPr>
        <w:t xml:space="preserve"> wybranych elementów konstrukcyjnych, podzespołów mechanicznych lub części wymiennych, nie dotyczy jednak materiałów eksploatacyjnych.”</w:t>
      </w:r>
    </w:p>
    <w:p w14:paraId="4E8F3427" w14:textId="6543EBF6" w:rsidR="00850064" w:rsidRPr="00497BA5" w:rsidRDefault="00850064" w:rsidP="001E221D">
      <w:pPr>
        <w:pStyle w:val="Bezodstpw"/>
        <w:rPr>
          <w:rFonts w:ascii="Calibri" w:hAnsi="Calibri" w:cs="Calibri"/>
          <w:sz w:val="22"/>
          <w:szCs w:val="22"/>
        </w:rPr>
      </w:pPr>
    </w:p>
    <w:p w14:paraId="25F240AA" w14:textId="77777777" w:rsidR="001E221D" w:rsidRPr="00497BA5" w:rsidRDefault="001E221D" w:rsidP="001E221D">
      <w:pPr>
        <w:pStyle w:val="Bezodstpw"/>
        <w:rPr>
          <w:rFonts w:ascii="Calibri" w:hAnsi="Calibri" w:cs="Calibri"/>
          <w:sz w:val="22"/>
          <w:szCs w:val="22"/>
        </w:rPr>
      </w:pPr>
      <w:r w:rsidRPr="00497BA5">
        <w:rPr>
          <w:rFonts w:ascii="Calibri" w:hAnsi="Calibri" w:cs="Calibri"/>
          <w:sz w:val="22"/>
          <w:szCs w:val="22"/>
        </w:rPr>
        <w:t>Z powyższego zapisu jednoznacznie wynika, że gwarancja:</w:t>
      </w:r>
    </w:p>
    <w:p w14:paraId="0C6BCB0B" w14:textId="1BCA2AAC" w:rsidR="001E221D" w:rsidRPr="001E221D" w:rsidRDefault="001E221D" w:rsidP="00566124">
      <w:pPr>
        <w:numPr>
          <w:ilvl w:val="0"/>
          <w:numId w:val="7"/>
        </w:numPr>
        <w:spacing w:before="100" w:beforeAutospacing="1" w:after="100" w:afterAutospacing="1"/>
        <w:rPr>
          <w:rFonts w:ascii="Calibri" w:hAnsi="Calibri" w:cs="Calibri"/>
          <w:sz w:val="22"/>
          <w:szCs w:val="22"/>
        </w:rPr>
      </w:pPr>
      <w:r w:rsidRPr="001E221D">
        <w:rPr>
          <w:rFonts w:ascii="Calibri" w:hAnsi="Calibri" w:cs="Calibri"/>
          <w:b/>
          <w:bCs/>
          <w:sz w:val="22"/>
          <w:szCs w:val="22"/>
        </w:rPr>
        <w:t>obejmuje cały przedmiot leasingu w całości</w:t>
      </w:r>
      <w:r w:rsidRPr="001E221D">
        <w:rPr>
          <w:rFonts w:ascii="Calibri" w:hAnsi="Calibri" w:cs="Calibri"/>
          <w:sz w:val="22"/>
          <w:szCs w:val="22"/>
        </w:rPr>
        <w:t xml:space="preserve">, w tym </w:t>
      </w:r>
      <w:r w:rsidRPr="001E221D">
        <w:rPr>
          <w:rFonts w:ascii="Calibri" w:hAnsi="Calibri" w:cs="Calibri"/>
          <w:b/>
          <w:bCs/>
          <w:sz w:val="22"/>
          <w:szCs w:val="22"/>
        </w:rPr>
        <w:t>wszystkie elementy konstrukcyjne, podzespoły mechaniczne i części wymienne</w:t>
      </w:r>
      <w:r w:rsidR="00566124">
        <w:rPr>
          <w:rFonts w:ascii="Calibri" w:hAnsi="Calibri" w:cs="Calibri"/>
          <w:sz w:val="22"/>
          <w:szCs w:val="22"/>
        </w:rPr>
        <w:t xml:space="preserve"> </w:t>
      </w:r>
      <w:r w:rsidRPr="001E221D">
        <w:rPr>
          <w:rFonts w:ascii="Calibri" w:hAnsi="Calibri" w:cs="Calibri"/>
          <w:b/>
          <w:bCs/>
          <w:sz w:val="22"/>
          <w:szCs w:val="22"/>
        </w:rPr>
        <w:t>ale z wyłączeniem materiałów eksploatacyjnych</w:t>
      </w:r>
      <w:r w:rsidRPr="001E221D">
        <w:rPr>
          <w:rFonts w:ascii="Calibri" w:hAnsi="Calibri" w:cs="Calibri"/>
          <w:sz w:val="22"/>
          <w:szCs w:val="22"/>
        </w:rPr>
        <w:t>.</w:t>
      </w:r>
    </w:p>
    <w:p w14:paraId="1E59170D" w14:textId="6C04E6CA" w:rsidR="001E221D" w:rsidRPr="001E221D" w:rsidRDefault="001E221D" w:rsidP="001E221D">
      <w:pPr>
        <w:rPr>
          <w:rFonts w:ascii="Calibri" w:hAnsi="Calibri" w:cs="Calibri"/>
          <w:sz w:val="22"/>
          <w:szCs w:val="22"/>
        </w:rPr>
      </w:pPr>
      <w:r w:rsidRPr="001E221D">
        <w:rPr>
          <w:rFonts w:ascii="Calibri" w:hAnsi="Calibri" w:cs="Calibri"/>
          <w:sz w:val="22"/>
          <w:szCs w:val="22"/>
        </w:rPr>
        <w:t xml:space="preserve">Materiały eksploatacyjne to części i komponenty, które </w:t>
      </w:r>
      <w:r w:rsidRPr="001E221D">
        <w:rPr>
          <w:rFonts w:ascii="Calibri" w:hAnsi="Calibri" w:cs="Calibri"/>
          <w:b/>
          <w:bCs/>
          <w:sz w:val="22"/>
          <w:szCs w:val="22"/>
        </w:rPr>
        <w:t>zużywają się w toku normalnej eksploatacji</w:t>
      </w:r>
      <w:r w:rsidRPr="001E221D">
        <w:rPr>
          <w:rFonts w:ascii="Calibri" w:hAnsi="Calibri" w:cs="Calibri"/>
          <w:sz w:val="22"/>
          <w:szCs w:val="22"/>
        </w:rPr>
        <w:t xml:space="preserve"> urządzenia lub pojazdu i są z założenia przeznaczone do regularnej wymiany. Zgodnie z praktyką rynkową, do materiałów eksploatacyjnych </w:t>
      </w:r>
      <w:r w:rsidRPr="00497BA5">
        <w:rPr>
          <w:rFonts w:ascii="Calibri" w:hAnsi="Calibri" w:cs="Calibri"/>
          <w:sz w:val="22"/>
          <w:szCs w:val="22"/>
        </w:rPr>
        <w:t xml:space="preserve">w śmieciarce  </w:t>
      </w:r>
      <w:r w:rsidRPr="001E221D">
        <w:rPr>
          <w:rFonts w:ascii="Calibri" w:hAnsi="Calibri" w:cs="Calibri"/>
          <w:sz w:val="22"/>
          <w:szCs w:val="22"/>
        </w:rPr>
        <w:t>zalicz</w:t>
      </w:r>
      <w:r w:rsidRPr="00497BA5">
        <w:rPr>
          <w:rFonts w:ascii="Calibri" w:hAnsi="Calibri" w:cs="Calibri"/>
          <w:sz w:val="22"/>
          <w:szCs w:val="22"/>
        </w:rPr>
        <w:t>yć</w:t>
      </w:r>
      <w:r w:rsidRPr="001E221D">
        <w:rPr>
          <w:rFonts w:ascii="Calibri" w:hAnsi="Calibri" w:cs="Calibri"/>
          <w:sz w:val="22"/>
          <w:szCs w:val="22"/>
        </w:rPr>
        <w:t xml:space="preserve"> </w:t>
      </w:r>
      <w:r w:rsidRPr="00497BA5">
        <w:rPr>
          <w:rFonts w:ascii="Calibri" w:hAnsi="Calibri" w:cs="Calibri"/>
          <w:sz w:val="22"/>
          <w:szCs w:val="22"/>
        </w:rPr>
        <w:t xml:space="preserve"> możemy </w:t>
      </w:r>
      <w:r w:rsidRPr="001E221D">
        <w:rPr>
          <w:rFonts w:ascii="Calibri" w:hAnsi="Calibri" w:cs="Calibri"/>
          <w:sz w:val="22"/>
          <w:szCs w:val="22"/>
        </w:rPr>
        <w:t>m.in.:</w:t>
      </w:r>
    </w:p>
    <w:p w14:paraId="5AD60E16" w14:textId="77777777" w:rsidR="001E221D" w:rsidRPr="00497BA5" w:rsidRDefault="001E221D" w:rsidP="001E221D">
      <w:pPr>
        <w:numPr>
          <w:ilvl w:val="0"/>
          <w:numId w:val="8"/>
        </w:numPr>
        <w:spacing w:before="100" w:beforeAutospacing="1" w:after="100" w:afterAutospacing="1"/>
        <w:rPr>
          <w:rFonts w:ascii="Calibri" w:hAnsi="Calibri" w:cs="Calibri"/>
          <w:sz w:val="22"/>
          <w:szCs w:val="22"/>
        </w:rPr>
      </w:pPr>
      <w:r w:rsidRPr="001E221D">
        <w:rPr>
          <w:rFonts w:ascii="Calibri" w:hAnsi="Calibri" w:cs="Calibri"/>
          <w:sz w:val="22"/>
          <w:szCs w:val="22"/>
        </w:rPr>
        <w:t>ślizgi,</w:t>
      </w:r>
    </w:p>
    <w:p w14:paraId="60E73CF4" w14:textId="77777777" w:rsidR="001E221D" w:rsidRPr="001E221D" w:rsidRDefault="001E221D" w:rsidP="001E221D">
      <w:pPr>
        <w:numPr>
          <w:ilvl w:val="0"/>
          <w:numId w:val="8"/>
        </w:numPr>
        <w:spacing w:before="100" w:beforeAutospacing="1" w:after="100" w:afterAutospacing="1"/>
        <w:rPr>
          <w:rFonts w:ascii="Calibri" w:hAnsi="Calibri" w:cs="Calibri"/>
          <w:sz w:val="22"/>
          <w:szCs w:val="22"/>
        </w:rPr>
      </w:pPr>
      <w:r w:rsidRPr="00497BA5">
        <w:rPr>
          <w:rFonts w:ascii="Calibri" w:hAnsi="Calibri" w:cs="Calibri"/>
          <w:sz w:val="22"/>
          <w:szCs w:val="22"/>
        </w:rPr>
        <w:t>„fartuchy” uszczelki odwłoka itp.</w:t>
      </w:r>
    </w:p>
    <w:p w14:paraId="221A4A1D" w14:textId="77777777" w:rsidR="001E221D" w:rsidRPr="001E221D" w:rsidRDefault="001E221D" w:rsidP="001E221D">
      <w:pPr>
        <w:numPr>
          <w:ilvl w:val="0"/>
          <w:numId w:val="8"/>
        </w:numPr>
        <w:spacing w:before="100" w:beforeAutospacing="1" w:after="100" w:afterAutospacing="1"/>
        <w:rPr>
          <w:rFonts w:ascii="Calibri" w:hAnsi="Calibri" w:cs="Calibri"/>
          <w:sz w:val="22"/>
          <w:szCs w:val="22"/>
        </w:rPr>
      </w:pPr>
      <w:r w:rsidRPr="001E221D">
        <w:rPr>
          <w:rFonts w:ascii="Calibri" w:hAnsi="Calibri" w:cs="Calibri"/>
          <w:sz w:val="22"/>
          <w:szCs w:val="22"/>
        </w:rPr>
        <w:t>węże hydrauliczne,</w:t>
      </w:r>
    </w:p>
    <w:p w14:paraId="6599FC78" w14:textId="77777777" w:rsidR="001E221D" w:rsidRDefault="001E221D" w:rsidP="001E221D">
      <w:pPr>
        <w:numPr>
          <w:ilvl w:val="0"/>
          <w:numId w:val="8"/>
        </w:numPr>
        <w:spacing w:before="100" w:beforeAutospacing="1" w:after="100" w:afterAutospacing="1"/>
        <w:rPr>
          <w:rFonts w:ascii="Calibri" w:hAnsi="Calibri" w:cs="Calibri"/>
          <w:sz w:val="22"/>
          <w:szCs w:val="22"/>
        </w:rPr>
      </w:pPr>
      <w:r w:rsidRPr="001E221D">
        <w:rPr>
          <w:rFonts w:ascii="Calibri" w:hAnsi="Calibri" w:cs="Calibri"/>
          <w:sz w:val="22"/>
          <w:szCs w:val="22"/>
        </w:rPr>
        <w:t>klocki i tarcze hamulcowe,</w:t>
      </w:r>
    </w:p>
    <w:p w14:paraId="0DF01575" w14:textId="4D92D5FF" w:rsidR="00497BA5" w:rsidRPr="001E221D" w:rsidRDefault="00497BA5" w:rsidP="001E221D">
      <w:pPr>
        <w:numPr>
          <w:ilvl w:val="0"/>
          <w:numId w:val="8"/>
        </w:numPr>
        <w:spacing w:before="100" w:beforeAutospacing="1" w:after="100" w:afterAutospacing="1"/>
        <w:rPr>
          <w:rFonts w:ascii="Calibri" w:hAnsi="Calibri" w:cs="Calibri"/>
          <w:sz w:val="22"/>
          <w:szCs w:val="22"/>
        </w:rPr>
      </w:pPr>
      <w:r>
        <w:rPr>
          <w:rFonts w:ascii="Calibri" w:hAnsi="Calibri" w:cs="Calibri"/>
          <w:sz w:val="22"/>
          <w:szCs w:val="22"/>
        </w:rPr>
        <w:t>drążki kierownicze itp.</w:t>
      </w:r>
    </w:p>
    <w:p w14:paraId="5F7781CD" w14:textId="77777777" w:rsidR="001E221D" w:rsidRPr="001E221D" w:rsidRDefault="001E221D" w:rsidP="001E221D">
      <w:pPr>
        <w:numPr>
          <w:ilvl w:val="0"/>
          <w:numId w:val="8"/>
        </w:numPr>
        <w:spacing w:before="100" w:beforeAutospacing="1" w:after="100" w:afterAutospacing="1"/>
        <w:rPr>
          <w:rFonts w:ascii="Calibri" w:hAnsi="Calibri" w:cs="Calibri"/>
          <w:sz w:val="22"/>
          <w:szCs w:val="22"/>
        </w:rPr>
      </w:pPr>
      <w:r w:rsidRPr="001E221D">
        <w:rPr>
          <w:rFonts w:ascii="Calibri" w:hAnsi="Calibri" w:cs="Calibri"/>
          <w:sz w:val="22"/>
          <w:szCs w:val="22"/>
        </w:rPr>
        <w:t>filtry,</w:t>
      </w:r>
    </w:p>
    <w:p w14:paraId="06BB7922" w14:textId="77777777" w:rsidR="001E221D" w:rsidRPr="001E221D" w:rsidRDefault="001E221D" w:rsidP="001E221D">
      <w:pPr>
        <w:numPr>
          <w:ilvl w:val="0"/>
          <w:numId w:val="8"/>
        </w:numPr>
        <w:spacing w:before="100" w:beforeAutospacing="1" w:after="100" w:afterAutospacing="1"/>
        <w:rPr>
          <w:rFonts w:ascii="Calibri" w:hAnsi="Calibri" w:cs="Calibri"/>
          <w:sz w:val="22"/>
          <w:szCs w:val="22"/>
        </w:rPr>
      </w:pPr>
      <w:r w:rsidRPr="001E221D">
        <w:rPr>
          <w:rFonts w:ascii="Calibri" w:hAnsi="Calibri" w:cs="Calibri"/>
          <w:sz w:val="22"/>
          <w:szCs w:val="22"/>
        </w:rPr>
        <w:t>oleje i płyny,</w:t>
      </w:r>
    </w:p>
    <w:p w14:paraId="6122B0CA" w14:textId="77777777" w:rsidR="001E221D" w:rsidRPr="001E221D" w:rsidRDefault="001E221D" w:rsidP="001E221D">
      <w:pPr>
        <w:numPr>
          <w:ilvl w:val="0"/>
          <w:numId w:val="8"/>
        </w:numPr>
        <w:spacing w:before="100" w:beforeAutospacing="1" w:after="100" w:afterAutospacing="1"/>
        <w:rPr>
          <w:rFonts w:ascii="Calibri" w:hAnsi="Calibri" w:cs="Calibri"/>
          <w:sz w:val="22"/>
          <w:szCs w:val="22"/>
        </w:rPr>
      </w:pPr>
      <w:r w:rsidRPr="001E221D">
        <w:rPr>
          <w:rFonts w:ascii="Calibri" w:hAnsi="Calibri" w:cs="Calibri"/>
          <w:sz w:val="22"/>
          <w:szCs w:val="22"/>
        </w:rPr>
        <w:t>żarówki, bezpieczniki,</w:t>
      </w:r>
    </w:p>
    <w:p w14:paraId="21C11E2B" w14:textId="40C9CACD" w:rsidR="00497BA5" w:rsidRPr="00497BA5" w:rsidRDefault="001E221D" w:rsidP="00497BA5">
      <w:pPr>
        <w:numPr>
          <w:ilvl w:val="0"/>
          <w:numId w:val="8"/>
        </w:numPr>
        <w:spacing w:before="100" w:beforeAutospacing="1" w:after="100" w:afterAutospacing="1"/>
        <w:rPr>
          <w:rFonts w:ascii="Calibri" w:hAnsi="Calibri" w:cs="Calibri"/>
          <w:sz w:val="22"/>
          <w:szCs w:val="22"/>
        </w:rPr>
      </w:pPr>
      <w:r w:rsidRPr="001E221D">
        <w:rPr>
          <w:rFonts w:ascii="Calibri" w:hAnsi="Calibri" w:cs="Calibri"/>
          <w:sz w:val="22"/>
          <w:szCs w:val="22"/>
        </w:rPr>
        <w:t>pióra wycieraczek</w:t>
      </w:r>
    </w:p>
    <w:p w14:paraId="01F37E2D" w14:textId="07DEF43C" w:rsidR="00497BA5" w:rsidRPr="00497BA5" w:rsidRDefault="00497BA5" w:rsidP="00497BA5">
      <w:pPr>
        <w:numPr>
          <w:ilvl w:val="0"/>
          <w:numId w:val="8"/>
        </w:numPr>
        <w:spacing w:before="100" w:beforeAutospacing="1" w:after="100" w:afterAutospacing="1"/>
        <w:rPr>
          <w:rFonts w:ascii="Calibri" w:hAnsi="Calibri" w:cs="Calibri"/>
          <w:sz w:val="22"/>
          <w:szCs w:val="22"/>
        </w:rPr>
      </w:pPr>
      <w:r w:rsidRPr="00497BA5">
        <w:rPr>
          <w:rFonts w:ascii="Calibri" w:hAnsi="Calibri" w:cs="Calibri"/>
          <w:sz w:val="22"/>
          <w:szCs w:val="22"/>
        </w:rPr>
        <w:t>tarcze sprzęgła</w:t>
      </w:r>
    </w:p>
    <w:p w14:paraId="7F9E0285" w14:textId="07CE390B" w:rsidR="00497BA5" w:rsidRPr="001E221D" w:rsidRDefault="00497BA5" w:rsidP="00497BA5">
      <w:pPr>
        <w:numPr>
          <w:ilvl w:val="0"/>
          <w:numId w:val="8"/>
        </w:numPr>
        <w:spacing w:before="100" w:beforeAutospacing="1" w:after="100" w:afterAutospacing="1"/>
        <w:rPr>
          <w:rFonts w:ascii="Calibri" w:hAnsi="Calibri" w:cs="Calibri"/>
          <w:sz w:val="22"/>
          <w:szCs w:val="22"/>
        </w:rPr>
      </w:pPr>
      <w:r w:rsidRPr="00497BA5">
        <w:rPr>
          <w:rFonts w:ascii="Calibri" w:hAnsi="Calibri" w:cs="Calibri"/>
          <w:sz w:val="22"/>
          <w:szCs w:val="22"/>
        </w:rPr>
        <w:t>Ogumienie itp.</w:t>
      </w:r>
    </w:p>
    <w:p w14:paraId="15C9F2BA" w14:textId="77777777" w:rsidR="001E221D" w:rsidRPr="00497BA5" w:rsidRDefault="001E221D" w:rsidP="001E221D">
      <w:pPr>
        <w:pStyle w:val="Bezodstpw"/>
        <w:rPr>
          <w:rFonts w:ascii="Calibri" w:hAnsi="Calibri" w:cs="Calibri"/>
          <w:sz w:val="22"/>
          <w:szCs w:val="22"/>
        </w:rPr>
      </w:pPr>
      <w:r w:rsidRPr="00497BA5">
        <w:rPr>
          <w:rFonts w:ascii="Calibri" w:hAnsi="Calibri" w:cs="Calibri"/>
          <w:sz w:val="22"/>
          <w:szCs w:val="22"/>
        </w:rPr>
        <w:t>Są to części, których żywotność jest ograniczona i zależna od intensywności użytkowania pojazdu, a ich zużycie nie wynika z wady fabrycznej, lecz z normalnego użytkowania.</w:t>
      </w:r>
    </w:p>
    <w:p w14:paraId="7F719458" w14:textId="77777777" w:rsidR="001E221D" w:rsidRPr="00497BA5" w:rsidRDefault="001E221D" w:rsidP="001E221D">
      <w:pPr>
        <w:pStyle w:val="Bezodstpw"/>
        <w:rPr>
          <w:rFonts w:ascii="Calibri" w:hAnsi="Calibri" w:cs="Calibri"/>
          <w:sz w:val="22"/>
          <w:szCs w:val="22"/>
        </w:rPr>
      </w:pPr>
    </w:p>
    <w:p w14:paraId="4354FED0" w14:textId="77777777" w:rsidR="001E221D" w:rsidRPr="001E221D" w:rsidRDefault="001E221D" w:rsidP="001E221D">
      <w:pPr>
        <w:pStyle w:val="Bezodstpw"/>
        <w:rPr>
          <w:rFonts w:ascii="Calibri" w:hAnsi="Calibri" w:cs="Calibri"/>
          <w:b/>
          <w:bCs/>
          <w:sz w:val="22"/>
          <w:szCs w:val="22"/>
        </w:rPr>
      </w:pPr>
      <w:r w:rsidRPr="00497BA5">
        <w:rPr>
          <w:rFonts w:ascii="Calibri" w:hAnsi="Calibri" w:cs="Calibri"/>
          <w:b/>
          <w:bCs/>
          <w:sz w:val="22"/>
          <w:szCs w:val="22"/>
        </w:rPr>
        <w:t>Uzasadnienie wyłączenia z gwarancji:</w:t>
      </w:r>
    </w:p>
    <w:p w14:paraId="2EC03B5E" w14:textId="77777777" w:rsidR="001E221D" w:rsidRPr="001E221D" w:rsidRDefault="001E221D" w:rsidP="001E221D">
      <w:pPr>
        <w:spacing w:before="100" w:beforeAutospacing="1" w:after="100" w:afterAutospacing="1"/>
        <w:rPr>
          <w:rFonts w:ascii="Calibri" w:hAnsi="Calibri" w:cs="Calibri"/>
          <w:sz w:val="22"/>
          <w:szCs w:val="22"/>
        </w:rPr>
      </w:pPr>
      <w:r w:rsidRPr="001E221D">
        <w:rPr>
          <w:rFonts w:ascii="Calibri" w:hAnsi="Calibri" w:cs="Calibri"/>
          <w:sz w:val="22"/>
          <w:szCs w:val="22"/>
        </w:rPr>
        <w:t>Zamawiający w SIWZ dokonał świadomego rozróżnienia między:</w:t>
      </w:r>
      <w:r w:rsidRPr="00497BA5">
        <w:rPr>
          <w:rFonts w:ascii="Calibri" w:hAnsi="Calibri" w:cs="Calibri"/>
          <w:sz w:val="22"/>
          <w:szCs w:val="22"/>
        </w:rPr>
        <w:t xml:space="preserve"> </w:t>
      </w:r>
      <w:r w:rsidRPr="001E221D">
        <w:rPr>
          <w:rFonts w:ascii="Calibri" w:hAnsi="Calibri" w:cs="Calibri"/>
          <w:b/>
          <w:bCs/>
          <w:sz w:val="22"/>
          <w:szCs w:val="22"/>
        </w:rPr>
        <w:t>częściami objętymi gwarancją</w:t>
      </w:r>
      <w:r w:rsidRPr="001E221D">
        <w:rPr>
          <w:rFonts w:ascii="Calibri" w:hAnsi="Calibri" w:cs="Calibri"/>
          <w:sz w:val="22"/>
          <w:szCs w:val="22"/>
        </w:rPr>
        <w:t xml:space="preserve"> (wszystkie elementy konstrukcyjne, mechaniczne i części wymienne), a</w:t>
      </w:r>
      <w:r w:rsidRPr="00497BA5">
        <w:rPr>
          <w:rFonts w:ascii="Calibri" w:hAnsi="Calibri" w:cs="Calibri"/>
          <w:sz w:val="22"/>
          <w:szCs w:val="22"/>
        </w:rPr>
        <w:t xml:space="preserve"> </w:t>
      </w:r>
      <w:r w:rsidRPr="001E221D">
        <w:rPr>
          <w:rFonts w:ascii="Calibri" w:hAnsi="Calibri" w:cs="Calibri"/>
          <w:b/>
          <w:bCs/>
          <w:sz w:val="22"/>
          <w:szCs w:val="22"/>
        </w:rPr>
        <w:t>materiałami eksploatacyjnymi</w:t>
      </w:r>
      <w:r w:rsidRPr="001E221D">
        <w:rPr>
          <w:rFonts w:ascii="Calibri" w:hAnsi="Calibri" w:cs="Calibri"/>
          <w:sz w:val="22"/>
          <w:szCs w:val="22"/>
        </w:rPr>
        <w:t xml:space="preserve">, które z niej </w:t>
      </w:r>
      <w:r w:rsidRPr="001E221D">
        <w:rPr>
          <w:rFonts w:ascii="Calibri" w:hAnsi="Calibri" w:cs="Calibri"/>
          <w:b/>
          <w:bCs/>
          <w:sz w:val="22"/>
          <w:szCs w:val="22"/>
        </w:rPr>
        <w:t>zostały wyłączone</w:t>
      </w:r>
      <w:r w:rsidRPr="001E221D">
        <w:rPr>
          <w:rFonts w:ascii="Calibri" w:hAnsi="Calibri" w:cs="Calibri"/>
          <w:sz w:val="22"/>
          <w:szCs w:val="22"/>
        </w:rPr>
        <w:t>.</w:t>
      </w:r>
    </w:p>
    <w:p w14:paraId="1FB25BC5" w14:textId="77777777" w:rsidR="001E221D" w:rsidRPr="001E221D" w:rsidRDefault="001E221D" w:rsidP="001E221D">
      <w:pPr>
        <w:spacing w:before="100" w:beforeAutospacing="1" w:after="100" w:afterAutospacing="1"/>
        <w:rPr>
          <w:rFonts w:ascii="Calibri" w:hAnsi="Calibri" w:cs="Calibri"/>
          <w:sz w:val="22"/>
          <w:szCs w:val="22"/>
        </w:rPr>
      </w:pPr>
      <w:r w:rsidRPr="001E221D">
        <w:rPr>
          <w:rFonts w:ascii="Calibri" w:hAnsi="Calibri" w:cs="Calibri"/>
          <w:sz w:val="22"/>
          <w:szCs w:val="22"/>
        </w:rPr>
        <w:t xml:space="preserve">W związku z tym, gwarancja nie obejmuje </w:t>
      </w:r>
      <w:r w:rsidRPr="001E221D">
        <w:rPr>
          <w:rFonts w:ascii="Calibri" w:hAnsi="Calibri" w:cs="Calibri"/>
          <w:b/>
          <w:bCs/>
          <w:sz w:val="22"/>
          <w:szCs w:val="22"/>
        </w:rPr>
        <w:t>części wymiennych, które mają charakter eksploatacyjny</w:t>
      </w:r>
      <w:r w:rsidRPr="001E221D">
        <w:rPr>
          <w:rFonts w:ascii="Calibri" w:hAnsi="Calibri" w:cs="Calibri"/>
          <w:sz w:val="22"/>
          <w:szCs w:val="22"/>
        </w:rPr>
        <w:t>, czyli takich, które</w:t>
      </w:r>
      <w:r w:rsidRPr="00497BA5">
        <w:rPr>
          <w:rFonts w:ascii="Calibri" w:hAnsi="Calibri" w:cs="Calibri"/>
          <w:sz w:val="22"/>
          <w:szCs w:val="22"/>
        </w:rPr>
        <w:t xml:space="preserve"> </w:t>
      </w:r>
      <w:r w:rsidRPr="001E221D">
        <w:rPr>
          <w:rFonts w:ascii="Calibri" w:hAnsi="Calibri" w:cs="Calibri"/>
          <w:sz w:val="22"/>
          <w:szCs w:val="22"/>
        </w:rPr>
        <w:t>zużywają się w trakcie zwykłego użytkowania</w:t>
      </w:r>
      <w:r w:rsidRPr="00497BA5">
        <w:rPr>
          <w:rFonts w:ascii="Calibri" w:hAnsi="Calibri" w:cs="Calibri"/>
          <w:sz w:val="22"/>
          <w:szCs w:val="22"/>
        </w:rPr>
        <w:t xml:space="preserve"> lub </w:t>
      </w:r>
      <w:r w:rsidRPr="001E221D">
        <w:rPr>
          <w:rFonts w:ascii="Calibri" w:hAnsi="Calibri" w:cs="Calibri"/>
          <w:sz w:val="22"/>
          <w:szCs w:val="22"/>
        </w:rPr>
        <w:t>wymagają okresowej wymiany zgodnie z instrukcją serwisową producenta.</w:t>
      </w:r>
      <w:r w:rsidRPr="00497BA5">
        <w:rPr>
          <w:rFonts w:ascii="Calibri" w:hAnsi="Calibri" w:cs="Calibri"/>
          <w:sz w:val="22"/>
          <w:szCs w:val="22"/>
        </w:rPr>
        <w:t xml:space="preserve"> </w:t>
      </w:r>
    </w:p>
    <w:p w14:paraId="18774725" w14:textId="77777777" w:rsidR="001E221D" w:rsidRPr="001E221D" w:rsidRDefault="001E221D" w:rsidP="001E221D">
      <w:pPr>
        <w:spacing w:before="100" w:beforeAutospacing="1" w:after="100" w:afterAutospacing="1"/>
        <w:rPr>
          <w:rFonts w:ascii="Calibri" w:hAnsi="Calibri" w:cs="Calibri"/>
          <w:sz w:val="22"/>
          <w:szCs w:val="22"/>
        </w:rPr>
      </w:pPr>
      <w:r w:rsidRPr="001E221D">
        <w:rPr>
          <w:rFonts w:ascii="Calibri" w:hAnsi="Calibri" w:cs="Calibri"/>
          <w:sz w:val="22"/>
          <w:szCs w:val="22"/>
        </w:rPr>
        <w:t xml:space="preserve">Gwarancja obejmuje wszystkie elementy i części wymienne </w:t>
      </w:r>
      <w:r w:rsidRPr="001E221D">
        <w:rPr>
          <w:rFonts w:ascii="Calibri" w:hAnsi="Calibri" w:cs="Calibri"/>
          <w:b/>
          <w:bCs/>
          <w:sz w:val="22"/>
          <w:szCs w:val="22"/>
        </w:rPr>
        <w:t>z wyjątkiem materiałów eksploatacyjnych</w:t>
      </w:r>
      <w:r w:rsidRPr="001E221D">
        <w:rPr>
          <w:rFonts w:ascii="Calibri" w:hAnsi="Calibri" w:cs="Calibri"/>
          <w:sz w:val="22"/>
          <w:szCs w:val="22"/>
        </w:rPr>
        <w:t xml:space="preserve">. </w:t>
      </w:r>
    </w:p>
    <w:p w14:paraId="66D0934F" w14:textId="5ECA9C10" w:rsidR="00850064" w:rsidRPr="00497BA5" w:rsidRDefault="00857D1F">
      <w:pPr>
        <w:pStyle w:val="Nagwek1"/>
        <w:spacing w:after="292"/>
        <w:ind w:left="-5" w:right="0"/>
        <w:rPr>
          <w:rFonts w:ascii="Calibri" w:hAnsi="Calibri" w:cs="Calibri"/>
          <w:sz w:val="22"/>
          <w:szCs w:val="22"/>
        </w:rPr>
      </w:pPr>
      <w:r>
        <w:rPr>
          <w:rFonts w:ascii="Calibri" w:hAnsi="Calibri" w:cs="Calibri"/>
          <w:sz w:val="22"/>
          <w:szCs w:val="22"/>
        </w:rPr>
        <w:t>Odp. a</w:t>
      </w:r>
      <w:r w:rsidR="001071DE" w:rsidRPr="00497BA5">
        <w:rPr>
          <w:rFonts w:ascii="Calibri" w:hAnsi="Calibri" w:cs="Calibri"/>
          <w:sz w:val="22"/>
          <w:szCs w:val="22"/>
        </w:rPr>
        <w:t xml:space="preserve">d </w:t>
      </w:r>
      <w:r w:rsidR="00A02795" w:rsidRPr="00497BA5">
        <w:rPr>
          <w:rFonts w:ascii="Calibri" w:hAnsi="Calibri" w:cs="Calibri"/>
          <w:sz w:val="22"/>
          <w:szCs w:val="22"/>
        </w:rPr>
        <w:t>2</w:t>
      </w:r>
      <w:r w:rsidR="001071DE" w:rsidRPr="00497BA5">
        <w:rPr>
          <w:rFonts w:ascii="Calibri" w:hAnsi="Calibri" w:cs="Calibri"/>
          <w:sz w:val="22"/>
          <w:szCs w:val="22"/>
        </w:rPr>
        <w:t xml:space="preserve">) </w:t>
      </w:r>
    </w:p>
    <w:p w14:paraId="6AB0210D" w14:textId="2EE98594" w:rsidR="00850064" w:rsidRPr="00497BA5" w:rsidRDefault="001071DE">
      <w:pPr>
        <w:ind w:left="-5"/>
        <w:rPr>
          <w:rFonts w:ascii="Calibri" w:hAnsi="Calibri" w:cs="Calibri"/>
          <w:sz w:val="22"/>
          <w:szCs w:val="22"/>
        </w:rPr>
      </w:pPr>
      <w:r w:rsidRPr="00497BA5">
        <w:rPr>
          <w:rFonts w:ascii="Calibri" w:hAnsi="Calibri" w:cs="Calibri"/>
          <w:sz w:val="22"/>
          <w:szCs w:val="22"/>
        </w:rPr>
        <w:t xml:space="preserve">Zamawiający </w:t>
      </w:r>
      <w:r w:rsidR="00857D1F">
        <w:rPr>
          <w:rFonts w:ascii="Calibri" w:hAnsi="Calibri" w:cs="Calibri"/>
          <w:sz w:val="22"/>
          <w:szCs w:val="22"/>
        </w:rPr>
        <w:t>informuję, iż</w:t>
      </w:r>
      <w:r w:rsidR="00412709" w:rsidRPr="00497BA5">
        <w:rPr>
          <w:rFonts w:ascii="Calibri" w:hAnsi="Calibri" w:cs="Calibri"/>
          <w:sz w:val="22"/>
          <w:szCs w:val="22"/>
        </w:rPr>
        <w:t xml:space="preserve"> </w:t>
      </w:r>
      <w:r w:rsidRPr="00857D1F">
        <w:rPr>
          <w:rFonts w:ascii="Calibri" w:hAnsi="Calibri" w:cs="Calibri"/>
          <w:b/>
          <w:sz w:val="22"/>
          <w:szCs w:val="22"/>
          <w:u w:val="single"/>
        </w:rPr>
        <w:t>nie dopuszcza</w:t>
      </w:r>
      <w:r w:rsidRPr="00497BA5">
        <w:rPr>
          <w:rFonts w:ascii="Calibri" w:hAnsi="Calibri" w:cs="Calibri"/>
          <w:sz w:val="22"/>
          <w:szCs w:val="22"/>
        </w:rPr>
        <w:t xml:space="preserve"> </w:t>
      </w:r>
      <w:r w:rsidR="00412709" w:rsidRPr="00497BA5">
        <w:rPr>
          <w:rFonts w:ascii="Calibri" w:hAnsi="Calibri" w:cs="Calibri"/>
          <w:sz w:val="22"/>
          <w:szCs w:val="22"/>
        </w:rPr>
        <w:t>zastosowania skrzyni zautomatyzowanej</w:t>
      </w:r>
    </w:p>
    <w:p w14:paraId="28C36B10" w14:textId="77777777" w:rsidR="002F1AF5" w:rsidRPr="00497BA5" w:rsidRDefault="002F1AF5" w:rsidP="002F1AF5">
      <w:pPr>
        <w:pStyle w:val="p1"/>
        <w:rPr>
          <w:rFonts w:ascii="Calibri" w:hAnsi="Calibri" w:cs="Calibri"/>
          <w:sz w:val="22"/>
          <w:szCs w:val="22"/>
        </w:rPr>
      </w:pPr>
      <w:r w:rsidRPr="00497BA5">
        <w:rPr>
          <w:rFonts w:ascii="Calibri" w:hAnsi="Calibri" w:cs="Calibri"/>
          <w:sz w:val="22"/>
          <w:szCs w:val="22"/>
        </w:rPr>
        <w:t>Nasza decyzja podyktowana jest wieloletnim doświadczeniem z eksploatacji pojazdów komunalnych w intensywnych warunkach miejskich i osiedlowych, w których codziennie występują:</w:t>
      </w:r>
    </w:p>
    <w:p w14:paraId="6BEF179B" w14:textId="77777777" w:rsidR="002F1AF5" w:rsidRPr="00497BA5" w:rsidRDefault="002F1AF5" w:rsidP="002F1AF5">
      <w:pPr>
        <w:pStyle w:val="p1"/>
        <w:numPr>
          <w:ilvl w:val="0"/>
          <w:numId w:val="5"/>
        </w:numPr>
        <w:rPr>
          <w:rFonts w:ascii="Calibri" w:hAnsi="Calibri" w:cs="Calibri"/>
          <w:sz w:val="22"/>
          <w:szCs w:val="22"/>
        </w:rPr>
      </w:pPr>
      <w:r w:rsidRPr="00497BA5">
        <w:rPr>
          <w:rFonts w:ascii="Calibri" w:hAnsi="Calibri" w:cs="Calibri"/>
          <w:sz w:val="22"/>
          <w:szCs w:val="22"/>
        </w:rPr>
        <w:t>bardzo duża liczba cykli ruszania i zatrzymywania,</w:t>
      </w:r>
    </w:p>
    <w:p w14:paraId="4E698A7F" w14:textId="77777777" w:rsidR="002F1AF5" w:rsidRPr="00497BA5" w:rsidRDefault="002F1AF5" w:rsidP="002F1AF5">
      <w:pPr>
        <w:pStyle w:val="p1"/>
        <w:numPr>
          <w:ilvl w:val="0"/>
          <w:numId w:val="5"/>
        </w:numPr>
        <w:rPr>
          <w:rFonts w:ascii="Calibri" w:hAnsi="Calibri" w:cs="Calibri"/>
          <w:sz w:val="22"/>
          <w:szCs w:val="22"/>
        </w:rPr>
      </w:pPr>
      <w:r w:rsidRPr="00497BA5">
        <w:rPr>
          <w:rFonts w:ascii="Calibri" w:hAnsi="Calibri" w:cs="Calibri"/>
          <w:sz w:val="22"/>
          <w:szCs w:val="22"/>
        </w:rPr>
        <w:t>konieczność częstego manewrowania tyłem w ograniczonej przestrzeni,</w:t>
      </w:r>
    </w:p>
    <w:p w14:paraId="236AD9CE" w14:textId="6BE0D481" w:rsidR="002F1AF5" w:rsidRPr="00497BA5" w:rsidRDefault="002F1AF5" w:rsidP="002F1AF5">
      <w:pPr>
        <w:pStyle w:val="p1"/>
        <w:numPr>
          <w:ilvl w:val="0"/>
          <w:numId w:val="5"/>
        </w:numPr>
        <w:rPr>
          <w:rFonts w:ascii="Calibri" w:hAnsi="Calibri" w:cs="Calibri"/>
          <w:sz w:val="22"/>
          <w:szCs w:val="22"/>
        </w:rPr>
      </w:pPr>
      <w:r w:rsidRPr="00497BA5">
        <w:rPr>
          <w:rFonts w:ascii="Calibri" w:hAnsi="Calibri" w:cs="Calibri"/>
          <w:sz w:val="22"/>
          <w:szCs w:val="22"/>
        </w:rPr>
        <w:t>praca pod znacznym obciążeniem, przy niskich prędkościach i zmiennym ukształtowaniu terenu.</w:t>
      </w:r>
    </w:p>
    <w:p w14:paraId="5532715A" w14:textId="36681128" w:rsidR="002F1AF5" w:rsidRPr="00497BA5" w:rsidRDefault="002F1AF5" w:rsidP="002F1AF5">
      <w:pPr>
        <w:pStyle w:val="p1"/>
        <w:rPr>
          <w:rFonts w:ascii="Calibri" w:hAnsi="Calibri" w:cs="Calibri"/>
          <w:sz w:val="22"/>
          <w:szCs w:val="22"/>
        </w:rPr>
      </w:pPr>
      <w:r w:rsidRPr="00497BA5">
        <w:rPr>
          <w:rFonts w:ascii="Calibri" w:hAnsi="Calibri" w:cs="Calibri"/>
          <w:sz w:val="22"/>
          <w:szCs w:val="22"/>
        </w:rPr>
        <w:lastRenderedPageBreak/>
        <w:t>W opisanych warunkach skrzynie biegów typu zautomatyzowanego wykazują istotne ograniczenia użytkowe, w tym:</w:t>
      </w:r>
    </w:p>
    <w:p w14:paraId="0B336869" w14:textId="77777777" w:rsidR="002F1AF5" w:rsidRPr="00497BA5" w:rsidRDefault="002F1AF5" w:rsidP="002F1AF5">
      <w:pPr>
        <w:pStyle w:val="p1"/>
        <w:numPr>
          <w:ilvl w:val="0"/>
          <w:numId w:val="6"/>
        </w:numPr>
        <w:rPr>
          <w:rFonts w:ascii="Calibri" w:hAnsi="Calibri" w:cs="Calibri"/>
          <w:sz w:val="22"/>
          <w:szCs w:val="22"/>
        </w:rPr>
      </w:pPr>
      <w:r w:rsidRPr="00497BA5">
        <w:rPr>
          <w:rFonts w:ascii="Calibri" w:hAnsi="Calibri" w:cs="Calibri"/>
          <w:sz w:val="22"/>
          <w:szCs w:val="22"/>
        </w:rPr>
        <w:t>opóźnioną reakcję układu napędowego na polecenia kierowcy,</w:t>
      </w:r>
    </w:p>
    <w:p w14:paraId="4E392809" w14:textId="77777777" w:rsidR="002F1AF5" w:rsidRPr="00497BA5" w:rsidRDefault="002F1AF5" w:rsidP="002F1AF5">
      <w:pPr>
        <w:pStyle w:val="p1"/>
        <w:numPr>
          <w:ilvl w:val="0"/>
          <w:numId w:val="6"/>
        </w:numPr>
        <w:rPr>
          <w:rFonts w:ascii="Calibri" w:hAnsi="Calibri" w:cs="Calibri"/>
          <w:sz w:val="22"/>
          <w:szCs w:val="22"/>
        </w:rPr>
      </w:pPr>
      <w:r w:rsidRPr="00497BA5">
        <w:rPr>
          <w:rFonts w:ascii="Calibri" w:hAnsi="Calibri" w:cs="Calibri"/>
          <w:sz w:val="22"/>
          <w:szCs w:val="22"/>
        </w:rPr>
        <w:t>szarpnięcia i brak płynności podczas zmiany przełożeń,</w:t>
      </w:r>
    </w:p>
    <w:p w14:paraId="01C1BB56" w14:textId="77777777" w:rsidR="002F1AF5" w:rsidRPr="00497BA5" w:rsidRDefault="002F1AF5" w:rsidP="002F1AF5">
      <w:pPr>
        <w:pStyle w:val="p1"/>
        <w:numPr>
          <w:ilvl w:val="0"/>
          <w:numId w:val="6"/>
        </w:numPr>
        <w:rPr>
          <w:rFonts w:ascii="Calibri" w:hAnsi="Calibri" w:cs="Calibri"/>
          <w:sz w:val="22"/>
          <w:szCs w:val="22"/>
        </w:rPr>
      </w:pPr>
      <w:r w:rsidRPr="00497BA5">
        <w:rPr>
          <w:rFonts w:ascii="Calibri" w:hAnsi="Calibri" w:cs="Calibri"/>
          <w:sz w:val="22"/>
          <w:szCs w:val="22"/>
        </w:rPr>
        <w:t>niską precyzję działania podczas manewrów (szczególnie podczas cofania i jazdy pod wzniesienie),</w:t>
      </w:r>
    </w:p>
    <w:p w14:paraId="2ECB5F89" w14:textId="5ECB9E8B" w:rsidR="002F1AF5" w:rsidRPr="00497BA5" w:rsidRDefault="002F1AF5" w:rsidP="002F1AF5">
      <w:pPr>
        <w:pStyle w:val="p1"/>
        <w:numPr>
          <w:ilvl w:val="0"/>
          <w:numId w:val="6"/>
        </w:numPr>
        <w:rPr>
          <w:rFonts w:ascii="Calibri" w:hAnsi="Calibri" w:cs="Calibri"/>
          <w:sz w:val="22"/>
          <w:szCs w:val="22"/>
        </w:rPr>
      </w:pPr>
      <w:r w:rsidRPr="00497BA5">
        <w:rPr>
          <w:rFonts w:ascii="Calibri" w:hAnsi="Calibri" w:cs="Calibri"/>
          <w:sz w:val="22"/>
          <w:szCs w:val="22"/>
        </w:rPr>
        <w:t>podwyższoną awaryjność podzespołów elektronicznych i mechanicznych odpowiedzialnych za sterowanie skrzynią.</w:t>
      </w:r>
    </w:p>
    <w:p w14:paraId="2A9B1C57" w14:textId="67BC3E74" w:rsidR="002F1AF5" w:rsidRPr="00497BA5" w:rsidRDefault="002F1AF5" w:rsidP="00857D1F">
      <w:pPr>
        <w:pStyle w:val="p1"/>
        <w:jc w:val="both"/>
        <w:rPr>
          <w:rFonts w:ascii="Calibri" w:hAnsi="Calibri" w:cs="Calibri"/>
          <w:sz w:val="22"/>
          <w:szCs w:val="22"/>
        </w:rPr>
      </w:pPr>
      <w:r w:rsidRPr="00497BA5">
        <w:rPr>
          <w:rFonts w:ascii="Calibri" w:hAnsi="Calibri" w:cs="Calibri"/>
          <w:sz w:val="22"/>
          <w:szCs w:val="22"/>
        </w:rPr>
        <w:t xml:space="preserve">Konsekwencją powyższych problemów są </w:t>
      </w:r>
      <w:r w:rsidRPr="00497BA5">
        <w:rPr>
          <w:rStyle w:val="s2"/>
          <w:rFonts w:ascii="Calibri" w:hAnsi="Calibri" w:cs="Calibri"/>
          <w:b/>
          <w:bCs/>
          <w:sz w:val="22"/>
          <w:szCs w:val="22"/>
        </w:rPr>
        <w:t>częste awarie i przestoje pojazdów</w:t>
      </w:r>
      <w:r w:rsidRPr="00497BA5">
        <w:rPr>
          <w:rFonts w:ascii="Calibri" w:hAnsi="Calibri" w:cs="Calibri"/>
          <w:sz w:val="22"/>
          <w:szCs w:val="22"/>
        </w:rPr>
        <w:t>, które negatywnie wpływają na ciągłość realizacji usług komunalnych oraz generują istotne koszty serwisowe i organizacyjne. Każdorazowy przestój oznacza konieczność przesunięcia zadań na inne jednostki lub wynajmu pojazdu zastępczego.</w:t>
      </w:r>
    </w:p>
    <w:p w14:paraId="70371319" w14:textId="60FE51D9" w:rsidR="00850064" w:rsidRPr="00497BA5" w:rsidRDefault="002F1AF5" w:rsidP="00857D1F">
      <w:pPr>
        <w:pStyle w:val="p1"/>
        <w:jc w:val="both"/>
        <w:rPr>
          <w:rFonts w:ascii="Calibri" w:hAnsi="Calibri" w:cs="Calibri"/>
          <w:sz w:val="22"/>
          <w:szCs w:val="22"/>
        </w:rPr>
      </w:pPr>
      <w:r w:rsidRPr="00497BA5">
        <w:rPr>
          <w:rFonts w:ascii="Calibri" w:hAnsi="Calibri" w:cs="Calibri"/>
          <w:sz w:val="22"/>
          <w:szCs w:val="22"/>
        </w:rPr>
        <w:t xml:space="preserve">Z uwagi na powyższe okoliczności pojazdy z tego typu przekładniami </w:t>
      </w:r>
      <w:r w:rsidRPr="00497BA5">
        <w:rPr>
          <w:rStyle w:val="s2"/>
          <w:rFonts w:ascii="Calibri" w:hAnsi="Calibri" w:cs="Calibri"/>
          <w:b/>
          <w:bCs/>
          <w:sz w:val="22"/>
          <w:szCs w:val="22"/>
        </w:rPr>
        <w:t>nie sprawdzają się w naszych realiach eksploatacyjnych</w:t>
      </w:r>
      <w:r w:rsidR="00857D1F">
        <w:rPr>
          <w:rStyle w:val="s2"/>
          <w:rFonts w:ascii="Calibri" w:hAnsi="Calibri" w:cs="Calibri"/>
          <w:b/>
          <w:bCs/>
          <w:sz w:val="22"/>
          <w:szCs w:val="22"/>
        </w:rPr>
        <w:t xml:space="preserve"> (przede wszystkim Gmina Piaseczno)</w:t>
      </w:r>
      <w:r w:rsidRPr="00497BA5">
        <w:rPr>
          <w:rFonts w:ascii="Calibri" w:hAnsi="Calibri" w:cs="Calibri"/>
          <w:sz w:val="22"/>
          <w:szCs w:val="22"/>
        </w:rPr>
        <w:t>, co znajduje odzwierciedlenie zarówno w analizach technicznych i danych serwisowych, jak również w bezpośrednich opiniach użytkowników – kierowców obsługujących tego rodzaju sprzęt na co dzień.</w:t>
      </w:r>
    </w:p>
    <w:p w14:paraId="6542A23A" w14:textId="77777777" w:rsidR="00857D1F" w:rsidRDefault="00857D1F" w:rsidP="002F1AF5">
      <w:pPr>
        <w:pStyle w:val="Nagwek1"/>
        <w:ind w:left="-5" w:right="0"/>
        <w:rPr>
          <w:rFonts w:ascii="Calibri" w:hAnsi="Calibri" w:cs="Calibri"/>
          <w:sz w:val="22"/>
          <w:szCs w:val="22"/>
        </w:rPr>
      </w:pPr>
    </w:p>
    <w:p w14:paraId="5BCF4715" w14:textId="7CA51C7B" w:rsidR="00850064" w:rsidRPr="00497BA5" w:rsidRDefault="00857D1F" w:rsidP="002F1AF5">
      <w:pPr>
        <w:pStyle w:val="Nagwek1"/>
        <w:ind w:left="-5" w:right="0"/>
        <w:rPr>
          <w:rFonts w:ascii="Calibri" w:hAnsi="Calibri" w:cs="Calibri"/>
          <w:sz w:val="22"/>
          <w:szCs w:val="22"/>
        </w:rPr>
      </w:pPr>
      <w:r>
        <w:rPr>
          <w:rFonts w:ascii="Calibri" w:hAnsi="Calibri" w:cs="Calibri"/>
          <w:sz w:val="22"/>
          <w:szCs w:val="22"/>
        </w:rPr>
        <w:t>Odp. a</w:t>
      </w:r>
      <w:r w:rsidR="001071DE" w:rsidRPr="00497BA5">
        <w:rPr>
          <w:rFonts w:ascii="Calibri" w:hAnsi="Calibri" w:cs="Calibri"/>
          <w:sz w:val="22"/>
          <w:szCs w:val="22"/>
        </w:rPr>
        <w:t xml:space="preserve">d </w:t>
      </w:r>
      <w:r w:rsidR="00A02795" w:rsidRPr="00497BA5">
        <w:rPr>
          <w:rFonts w:ascii="Calibri" w:hAnsi="Calibri" w:cs="Calibri"/>
          <w:sz w:val="22"/>
          <w:szCs w:val="22"/>
        </w:rPr>
        <w:t>3</w:t>
      </w:r>
      <w:r w:rsidR="001071DE" w:rsidRPr="00497BA5">
        <w:rPr>
          <w:rFonts w:ascii="Calibri" w:hAnsi="Calibri" w:cs="Calibri"/>
          <w:sz w:val="22"/>
          <w:szCs w:val="22"/>
        </w:rPr>
        <w:t xml:space="preserve">) </w:t>
      </w:r>
    </w:p>
    <w:p w14:paraId="65F50F22" w14:textId="01DB9C46" w:rsidR="00850064" w:rsidRPr="00497BA5" w:rsidRDefault="001071DE" w:rsidP="00857D1F">
      <w:pPr>
        <w:spacing w:after="160" w:line="259" w:lineRule="auto"/>
        <w:ind w:left="10" w:hanging="10"/>
        <w:jc w:val="both"/>
        <w:rPr>
          <w:rFonts w:ascii="Calibri" w:hAnsi="Calibri" w:cs="Calibri"/>
          <w:bCs/>
          <w:sz w:val="22"/>
          <w:szCs w:val="22"/>
        </w:rPr>
      </w:pPr>
      <w:r w:rsidRPr="00497BA5">
        <w:rPr>
          <w:rFonts w:ascii="Calibri" w:hAnsi="Calibri" w:cs="Calibri"/>
          <w:sz w:val="22"/>
          <w:szCs w:val="22"/>
        </w:rPr>
        <w:t xml:space="preserve">Zamawiający </w:t>
      </w:r>
      <w:r w:rsidR="002F1AF5" w:rsidRPr="00497BA5">
        <w:rPr>
          <w:rFonts w:ascii="Calibri" w:hAnsi="Calibri" w:cs="Calibri"/>
          <w:b/>
          <w:sz w:val="22"/>
          <w:szCs w:val="22"/>
        </w:rPr>
        <w:t xml:space="preserve">dopuści jako równoważne </w:t>
      </w:r>
      <w:r w:rsidR="002F1AF5" w:rsidRPr="00497BA5">
        <w:rPr>
          <w:rFonts w:ascii="Calibri" w:hAnsi="Calibri" w:cs="Calibri"/>
          <w:bCs/>
          <w:sz w:val="22"/>
          <w:szCs w:val="22"/>
        </w:rPr>
        <w:t xml:space="preserve">zastosowanie luterek  krawężnikowych i </w:t>
      </w:r>
      <w:proofErr w:type="spellStart"/>
      <w:r w:rsidR="002F1AF5" w:rsidRPr="00497BA5">
        <w:rPr>
          <w:rFonts w:ascii="Calibri" w:hAnsi="Calibri" w:cs="Calibri"/>
          <w:bCs/>
          <w:sz w:val="22"/>
          <w:szCs w:val="22"/>
        </w:rPr>
        <w:t>rampowych</w:t>
      </w:r>
      <w:proofErr w:type="spellEnd"/>
      <w:r w:rsidR="002F1AF5" w:rsidRPr="00497BA5">
        <w:rPr>
          <w:rFonts w:ascii="Calibri" w:hAnsi="Calibri" w:cs="Calibri"/>
          <w:bCs/>
          <w:sz w:val="22"/>
          <w:szCs w:val="22"/>
        </w:rPr>
        <w:t xml:space="preserve"> sterowanych ręcznie i niepodgrzewanych</w:t>
      </w:r>
      <w:r w:rsidR="00497BA5">
        <w:rPr>
          <w:rFonts w:ascii="Calibri" w:hAnsi="Calibri" w:cs="Calibri"/>
          <w:bCs/>
          <w:sz w:val="22"/>
          <w:szCs w:val="22"/>
        </w:rPr>
        <w:t xml:space="preserve"> Pozostałe lusterka muszą być sterowane elektrycznie i podgrzewane.</w:t>
      </w:r>
    </w:p>
    <w:p w14:paraId="48567B8A" w14:textId="77777777" w:rsidR="00857D1F" w:rsidRDefault="00857D1F" w:rsidP="002F1AF5">
      <w:pPr>
        <w:spacing w:after="304"/>
        <w:ind w:left="-5"/>
        <w:rPr>
          <w:rFonts w:ascii="Calibri" w:hAnsi="Calibri" w:cs="Calibri"/>
          <w:b/>
          <w:bCs/>
          <w:sz w:val="22"/>
          <w:szCs w:val="22"/>
        </w:rPr>
      </w:pPr>
    </w:p>
    <w:p w14:paraId="3896C5EE" w14:textId="2CD4815C" w:rsidR="002F1AF5" w:rsidRPr="00497BA5" w:rsidRDefault="00857D1F" w:rsidP="002F1AF5">
      <w:pPr>
        <w:spacing w:after="304"/>
        <w:ind w:left="-5"/>
        <w:rPr>
          <w:rFonts w:ascii="Calibri" w:hAnsi="Calibri" w:cs="Calibri"/>
          <w:b/>
          <w:bCs/>
          <w:sz w:val="22"/>
          <w:szCs w:val="22"/>
        </w:rPr>
      </w:pPr>
      <w:r>
        <w:rPr>
          <w:rFonts w:ascii="Calibri" w:hAnsi="Calibri" w:cs="Calibri"/>
          <w:b/>
          <w:bCs/>
          <w:sz w:val="22"/>
          <w:szCs w:val="22"/>
        </w:rPr>
        <w:t>Odp. a</w:t>
      </w:r>
      <w:r w:rsidR="002F1AF5" w:rsidRPr="00497BA5">
        <w:rPr>
          <w:rFonts w:ascii="Calibri" w:hAnsi="Calibri" w:cs="Calibri"/>
          <w:b/>
          <w:bCs/>
          <w:sz w:val="22"/>
          <w:szCs w:val="22"/>
        </w:rPr>
        <w:t xml:space="preserve">d </w:t>
      </w:r>
      <w:r w:rsidR="00A02795" w:rsidRPr="00497BA5">
        <w:rPr>
          <w:rFonts w:ascii="Calibri" w:hAnsi="Calibri" w:cs="Calibri"/>
          <w:b/>
          <w:bCs/>
          <w:sz w:val="22"/>
          <w:szCs w:val="22"/>
        </w:rPr>
        <w:t>4</w:t>
      </w:r>
      <w:r w:rsidR="002F1AF5" w:rsidRPr="00497BA5">
        <w:rPr>
          <w:rFonts w:ascii="Calibri" w:hAnsi="Calibri" w:cs="Calibri"/>
          <w:b/>
          <w:bCs/>
          <w:sz w:val="22"/>
          <w:szCs w:val="22"/>
        </w:rPr>
        <w:t>)</w:t>
      </w:r>
    </w:p>
    <w:p w14:paraId="50631637" w14:textId="6E28DD03" w:rsidR="002F1AF5" w:rsidRPr="00497BA5" w:rsidRDefault="002F1AF5" w:rsidP="002F1AF5">
      <w:pPr>
        <w:spacing w:after="304"/>
        <w:ind w:left="-5"/>
        <w:rPr>
          <w:rFonts w:ascii="Calibri" w:hAnsi="Calibri" w:cs="Calibri"/>
          <w:sz w:val="22"/>
          <w:szCs w:val="22"/>
        </w:rPr>
      </w:pPr>
      <w:r w:rsidRPr="00497BA5">
        <w:rPr>
          <w:rFonts w:ascii="Calibri" w:hAnsi="Calibri" w:cs="Calibri"/>
          <w:sz w:val="22"/>
          <w:szCs w:val="22"/>
        </w:rPr>
        <w:t>Zamawiający dopuszcza wykonanie skrzyni ładunkowej z blachy konstrukcyjnej</w:t>
      </w:r>
      <w:r w:rsidR="00A02795" w:rsidRPr="00497BA5">
        <w:rPr>
          <w:rFonts w:ascii="Calibri" w:hAnsi="Calibri" w:cs="Calibri"/>
          <w:sz w:val="22"/>
          <w:szCs w:val="22"/>
        </w:rPr>
        <w:t xml:space="preserve"> stalowej o grubości 4mm. Rodzaj zastosowanej blachy musi być zgodny z normą EN 10025-2 np. blacha S355</w:t>
      </w:r>
    </w:p>
    <w:p w14:paraId="6F736A74" w14:textId="77777777" w:rsidR="00857D1F" w:rsidRDefault="00857D1F">
      <w:pPr>
        <w:spacing w:after="10"/>
        <w:ind w:left="-5"/>
        <w:rPr>
          <w:rFonts w:ascii="Calibri" w:hAnsi="Calibri" w:cs="Calibri"/>
          <w:sz w:val="22"/>
          <w:szCs w:val="22"/>
        </w:rPr>
      </w:pPr>
    </w:p>
    <w:p w14:paraId="39C7E1A5" w14:textId="77777777" w:rsidR="00857D1F" w:rsidRDefault="00857D1F">
      <w:pPr>
        <w:spacing w:after="10"/>
        <w:ind w:left="-5"/>
        <w:rPr>
          <w:rFonts w:ascii="Calibri" w:hAnsi="Calibri" w:cs="Calibri"/>
          <w:sz w:val="22"/>
          <w:szCs w:val="22"/>
        </w:rPr>
      </w:pPr>
    </w:p>
    <w:p w14:paraId="055286FD" w14:textId="0B2A6937" w:rsidR="00850064" w:rsidRPr="00497BA5" w:rsidRDefault="001071DE">
      <w:pPr>
        <w:spacing w:after="10"/>
        <w:ind w:left="-5"/>
        <w:rPr>
          <w:rFonts w:ascii="Calibri" w:hAnsi="Calibri" w:cs="Calibri"/>
          <w:sz w:val="22"/>
          <w:szCs w:val="22"/>
        </w:rPr>
      </w:pPr>
      <w:r w:rsidRPr="00497BA5">
        <w:rPr>
          <w:rFonts w:ascii="Calibri" w:hAnsi="Calibri" w:cs="Calibri"/>
          <w:sz w:val="22"/>
          <w:szCs w:val="22"/>
        </w:rPr>
        <w:t xml:space="preserve">Piaseczno, </w:t>
      </w:r>
      <w:r w:rsidR="00857D1F">
        <w:rPr>
          <w:rFonts w:ascii="Calibri" w:hAnsi="Calibri" w:cs="Calibri"/>
          <w:sz w:val="22"/>
          <w:szCs w:val="22"/>
        </w:rPr>
        <w:t>24</w:t>
      </w:r>
      <w:bookmarkStart w:id="0" w:name="_GoBack"/>
      <w:bookmarkEnd w:id="0"/>
      <w:r w:rsidRPr="00497BA5">
        <w:rPr>
          <w:rFonts w:ascii="Calibri" w:hAnsi="Calibri" w:cs="Calibri"/>
          <w:sz w:val="22"/>
          <w:szCs w:val="22"/>
        </w:rPr>
        <w:t xml:space="preserve"> kwietnia  2025 r. </w:t>
      </w:r>
    </w:p>
    <w:p w14:paraId="12D6BA0A" w14:textId="23666D78" w:rsidR="00850064" w:rsidRPr="00497BA5" w:rsidRDefault="001071DE">
      <w:pPr>
        <w:spacing w:line="259" w:lineRule="auto"/>
        <w:rPr>
          <w:rFonts w:ascii="Calibri" w:hAnsi="Calibri" w:cs="Calibri"/>
          <w:sz w:val="22"/>
          <w:szCs w:val="22"/>
        </w:rPr>
      </w:pPr>
      <w:r w:rsidRPr="00497BA5">
        <w:rPr>
          <w:rFonts w:ascii="Calibri" w:hAnsi="Calibri" w:cs="Calibri"/>
          <w:sz w:val="22"/>
          <w:szCs w:val="22"/>
        </w:rPr>
        <w:t xml:space="preserve"> </w:t>
      </w:r>
    </w:p>
    <w:p w14:paraId="52ABC901" w14:textId="77777777" w:rsidR="00850064" w:rsidRPr="00497BA5" w:rsidRDefault="001071DE">
      <w:pPr>
        <w:spacing w:line="259" w:lineRule="auto"/>
        <w:rPr>
          <w:rFonts w:ascii="Calibri" w:hAnsi="Calibri" w:cs="Calibri"/>
          <w:sz w:val="22"/>
          <w:szCs w:val="22"/>
        </w:rPr>
      </w:pPr>
      <w:r w:rsidRPr="00497BA5">
        <w:rPr>
          <w:rFonts w:ascii="Calibri" w:hAnsi="Calibri" w:cs="Calibri"/>
          <w:sz w:val="22"/>
          <w:szCs w:val="22"/>
        </w:rPr>
        <w:t xml:space="preserve"> </w:t>
      </w:r>
    </w:p>
    <w:p w14:paraId="234B0E1F" w14:textId="77777777" w:rsidR="00850064" w:rsidRDefault="001071DE">
      <w:pPr>
        <w:pBdr>
          <w:bottom w:val="single" w:sz="12" w:space="1" w:color="auto"/>
        </w:pBdr>
        <w:spacing w:line="259" w:lineRule="auto"/>
        <w:rPr>
          <w:rFonts w:ascii="Calibri" w:hAnsi="Calibri" w:cs="Calibri"/>
          <w:sz w:val="22"/>
          <w:szCs w:val="22"/>
        </w:rPr>
      </w:pPr>
      <w:r w:rsidRPr="00497BA5">
        <w:rPr>
          <w:rFonts w:ascii="Calibri" w:hAnsi="Calibri" w:cs="Calibri"/>
          <w:sz w:val="22"/>
          <w:szCs w:val="22"/>
        </w:rPr>
        <w:t xml:space="preserve"> </w:t>
      </w:r>
    </w:p>
    <w:p w14:paraId="44285A5F" w14:textId="77777777" w:rsidR="00857D1F" w:rsidRDefault="00857D1F">
      <w:pPr>
        <w:pBdr>
          <w:bottom w:val="single" w:sz="12" w:space="1" w:color="auto"/>
        </w:pBdr>
        <w:spacing w:line="259" w:lineRule="auto"/>
        <w:rPr>
          <w:rFonts w:ascii="Calibri" w:hAnsi="Calibri" w:cs="Calibri"/>
          <w:sz w:val="22"/>
          <w:szCs w:val="22"/>
        </w:rPr>
      </w:pPr>
    </w:p>
    <w:p w14:paraId="5B1FC9C6" w14:textId="77777777" w:rsidR="00857D1F" w:rsidRPr="00497BA5" w:rsidRDefault="00857D1F">
      <w:pPr>
        <w:pBdr>
          <w:bottom w:val="single" w:sz="12" w:space="1" w:color="auto"/>
        </w:pBdr>
        <w:spacing w:line="259" w:lineRule="auto"/>
        <w:rPr>
          <w:rFonts w:ascii="Calibri" w:hAnsi="Calibri" w:cs="Calibri"/>
          <w:sz w:val="22"/>
          <w:szCs w:val="22"/>
        </w:rPr>
      </w:pPr>
    </w:p>
    <w:p w14:paraId="11697E2D" w14:textId="223CA4EE" w:rsidR="00850064" w:rsidRPr="00497BA5" w:rsidRDefault="001071DE">
      <w:pPr>
        <w:spacing w:after="36"/>
        <w:ind w:left="-5" w:right="4162"/>
        <w:rPr>
          <w:rFonts w:ascii="Calibri" w:hAnsi="Calibri" w:cs="Calibri"/>
          <w:sz w:val="22"/>
          <w:szCs w:val="22"/>
        </w:rPr>
      </w:pPr>
      <w:r w:rsidRPr="00497BA5">
        <w:rPr>
          <w:rFonts w:ascii="Calibri" w:hAnsi="Calibri" w:cs="Calibri"/>
          <w:sz w:val="22"/>
          <w:szCs w:val="22"/>
        </w:rPr>
        <w:t xml:space="preserve">Grzegorz Tkaczyk </w:t>
      </w:r>
    </w:p>
    <w:p w14:paraId="171A3FB2" w14:textId="77777777" w:rsidR="00850064" w:rsidRPr="00497BA5" w:rsidRDefault="001071DE">
      <w:pPr>
        <w:ind w:left="-5"/>
        <w:rPr>
          <w:rFonts w:ascii="Calibri" w:hAnsi="Calibri" w:cs="Calibri"/>
          <w:sz w:val="22"/>
          <w:szCs w:val="22"/>
        </w:rPr>
      </w:pPr>
      <w:r w:rsidRPr="00497BA5">
        <w:rPr>
          <w:rFonts w:ascii="Calibri" w:hAnsi="Calibri" w:cs="Calibri"/>
          <w:sz w:val="22"/>
          <w:szCs w:val="22"/>
        </w:rPr>
        <w:t xml:space="preserve">Prezes Zarządu PUK Piaseczno Sp. z o.o. </w:t>
      </w:r>
    </w:p>
    <w:p w14:paraId="761FDDAC" w14:textId="77777777" w:rsidR="002F1AF5" w:rsidRPr="00497BA5" w:rsidRDefault="002F1AF5">
      <w:pPr>
        <w:ind w:left="-5"/>
        <w:rPr>
          <w:rFonts w:ascii="Calibri" w:hAnsi="Calibri" w:cs="Calibri"/>
          <w:sz w:val="22"/>
          <w:szCs w:val="22"/>
        </w:rPr>
      </w:pPr>
    </w:p>
    <w:sectPr w:rsidR="002F1AF5" w:rsidRPr="00497BA5">
      <w:pgSz w:w="11906" w:h="16838"/>
      <w:pgMar w:top="1134" w:right="1413" w:bottom="1324"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7219"/>
    <w:multiLevelType w:val="multilevel"/>
    <w:tmpl w:val="EEB4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B6A1D"/>
    <w:multiLevelType w:val="multilevel"/>
    <w:tmpl w:val="4594D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9BB20A7"/>
    <w:multiLevelType w:val="multilevel"/>
    <w:tmpl w:val="A8C0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CE01D0"/>
    <w:multiLevelType w:val="hybridMultilevel"/>
    <w:tmpl w:val="875071B8"/>
    <w:lvl w:ilvl="0" w:tplc="183058A6">
      <w:start w:val="1"/>
      <w:numFmt w:val="decimal"/>
      <w:lvlText w:val="%1)"/>
      <w:lvlJc w:val="left"/>
      <w:pPr>
        <w:ind w:left="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678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6B9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C07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6C85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465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4A0D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8E5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812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20D4EDE"/>
    <w:multiLevelType w:val="multilevel"/>
    <w:tmpl w:val="CB84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9E1F43"/>
    <w:multiLevelType w:val="multilevel"/>
    <w:tmpl w:val="1B8C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229E1"/>
    <w:multiLevelType w:val="multilevel"/>
    <w:tmpl w:val="BD74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507E88"/>
    <w:multiLevelType w:val="multilevel"/>
    <w:tmpl w:val="04A8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615546"/>
    <w:multiLevelType w:val="multilevel"/>
    <w:tmpl w:val="2950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BF76EC"/>
    <w:multiLevelType w:val="multilevel"/>
    <w:tmpl w:val="1D5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4"/>
  </w:num>
  <w:num w:numId="5">
    <w:abstractNumId w:val="9"/>
  </w:num>
  <w:num w:numId="6">
    <w:abstractNumId w:val="8"/>
  </w:num>
  <w:num w:numId="7">
    <w:abstractNumId w:val="0"/>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064"/>
    <w:rsid w:val="001071DE"/>
    <w:rsid w:val="001E221D"/>
    <w:rsid w:val="002926E0"/>
    <w:rsid w:val="002F1AF5"/>
    <w:rsid w:val="00412709"/>
    <w:rsid w:val="00497BA5"/>
    <w:rsid w:val="004E5029"/>
    <w:rsid w:val="00566124"/>
    <w:rsid w:val="00837C1F"/>
    <w:rsid w:val="00850064"/>
    <w:rsid w:val="00857D1F"/>
    <w:rsid w:val="00A027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221D"/>
    <w:pPr>
      <w:spacing w:after="0" w:line="240" w:lineRule="auto"/>
    </w:pPr>
    <w:rPr>
      <w:rFonts w:ascii="Times New Roman" w:eastAsia="Times New Roman" w:hAnsi="Times New Roman" w:cs="Times New Roman"/>
      <w:kern w:val="0"/>
      <w14:ligatures w14:val="none"/>
    </w:rPr>
  </w:style>
  <w:style w:type="paragraph" w:styleId="Nagwek1">
    <w:name w:val="heading 1"/>
    <w:next w:val="Normalny"/>
    <w:link w:val="Nagwek1Znak"/>
    <w:uiPriority w:val="9"/>
    <w:qFormat/>
    <w:pPr>
      <w:keepNext/>
      <w:keepLines/>
      <w:spacing w:after="0" w:line="259" w:lineRule="auto"/>
      <w:ind w:left="10" w:right="9" w:hanging="10"/>
      <w:outlineLvl w:val="0"/>
    </w:pPr>
    <w:rPr>
      <w:rFonts w:ascii="Times New Roman" w:eastAsia="Times New Roman" w:hAnsi="Times New Roman" w:cs="Times New Roman"/>
      <w:b/>
      <w:color w:val="000000"/>
    </w:rPr>
  </w:style>
  <w:style w:type="paragraph" w:styleId="Nagwek3">
    <w:name w:val="heading 3"/>
    <w:basedOn w:val="Normalny"/>
    <w:next w:val="Normalny"/>
    <w:link w:val="Nagwek3Znak"/>
    <w:uiPriority w:val="9"/>
    <w:unhideWhenUsed/>
    <w:qFormat/>
    <w:rsid w:val="001E221D"/>
    <w:pPr>
      <w:keepNext/>
      <w:keepLines/>
      <w:spacing w:before="40"/>
      <w:outlineLvl w:val="2"/>
    </w:pPr>
    <w:rPr>
      <w:rFonts w:asciiTheme="majorHAnsi" w:eastAsiaTheme="majorEastAsia" w:hAnsiTheme="majorHAnsi" w:cstheme="majorBidi"/>
      <w:color w:val="0A2F4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12709"/>
    <w:pPr>
      <w:autoSpaceDE w:val="0"/>
      <w:autoSpaceDN w:val="0"/>
      <w:adjustRightInd w:val="0"/>
      <w:spacing w:after="0" w:line="240" w:lineRule="auto"/>
    </w:pPr>
    <w:rPr>
      <w:rFonts w:ascii="Arial" w:eastAsia="Times New Roman" w:hAnsi="Arial" w:cs="Arial"/>
      <w:color w:val="000000"/>
      <w:kern w:val="0"/>
      <w:lang w:eastAsia="it-IT"/>
      <w14:ligatures w14:val="none"/>
    </w:rPr>
  </w:style>
  <w:style w:type="paragraph" w:customStyle="1" w:styleId="p1">
    <w:name w:val="p1"/>
    <w:basedOn w:val="Normalny"/>
    <w:rsid w:val="00412709"/>
    <w:pPr>
      <w:spacing w:before="100" w:beforeAutospacing="1" w:after="100" w:afterAutospacing="1"/>
    </w:pPr>
  </w:style>
  <w:style w:type="character" w:customStyle="1" w:styleId="s1">
    <w:name w:val="s1"/>
    <w:basedOn w:val="Domylnaczcionkaakapitu"/>
    <w:rsid w:val="00412709"/>
  </w:style>
  <w:style w:type="paragraph" w:customStyle="1" w:styleId="p2">
    <w:name w:val="p2"/>
    <w:basedOn w:val="Normalny"/>
    <w:rsid w:val="00412709"/>
    <w:pPr>
      <w:spacing w:before="100" w:beforeAutospacing="1" w:after="100" w:afterAutospacing="1"/>
    </w:pPr>
  </w:style>
  <w:style w:type="paragraph" w:customStyle="1" w:styleId="p3">
    <w:name w:val="p3"/>
    <w:basedOn w:val="Normalny"/>
    <w:rsid w:val="002F1AF5"/>
    <w:pPr>
      <w:spacing w:before="100" w:beforeAutospacing="1" w:after="100" w:afterAutospacing="1"/>
    </w:pPr>
  </w:style>
  <w:style w:type="character" w:customStyle="1" w:styleId="s2">
    <w:name w:val="s2"/>
    <w:basedOn w:val="Domylnaczcionkaakapitu"/>
    <w:rsid w:val="002F1AF5"/>
  </w:style>
  <w:style w:type="character" w:customStyle="1" w:styleId="Nagwek3Znak">
    <w:name w:val="Nagłówek 3 Znak"/>
    <w:basedOn w:val="Domylnaczcionkaakapitu"/>
    <w:link w:val="Nagwek3"/>
    <w:uiPriority w:val="9"/>
    <w:rsid w:val="001E221D"/>
    <w:rPr>
      <w:rFonts w:asciiTheme="majorHAnsi" w:eastAsiaTheme="majorEastAsia" w:hAnsiTheme="majorHAnsi" w:cstheme="majorBidi"/>
      <w:color w:val="0A2F40" w:themeColor="accent1" w:themeShade="7F"/>
      <w:lang w:bidi="pl-PL"/>
    </w:rPr>
  </w:style>
  <w:style w:type="paragraph" w:styleId="Bezodstpw">
    <w:name w:val="No Spacing"/>
    <w:uiPriority w:val="1"/>
    <w:qFormat/>
    <w:rsid w:val="001E221D"/>
    <w:pPr>
      <w:spacing w:after="0" w:line="240" w:lineRule="auto"/>
    </w:pPr>
    <w:rPr>
      <w:rFonts w:ascii="Times New Roman" w:eastAsia="Times New Roman" w:hAnsi="Times New Roman" w:cs="Times New Roman"/>
      <w:kern w:val="0"/>
      <w14:ligatures w14:val="none"/>
    </w:rPr>
  </w:style>
  <w:style w:type="paragraph" w:styleId="Tekstdymka">
    <w:name w:val="Balloon Text"/>
    <w:basedOn w:val="Normalny"/>
    <w:link w:val="TekstdymkaZnak"/>
    <w:uiPriority w:val="99"/>
    <w:semiHidden/>
    <w:unhideWhenUsed/>
    <w:rsid w:val="00857D1F"/>
    <w:rPr>
      <w:rFonts w:ascii="Tahoma" w:hAnsi="Tahoma" w:cs="Tahoma"/>
      <w:sz w:val="16"/>
      <w:szCs w:val="16"/>
    </w:rPr>
  </w:style>
  <w:style w:type="character" w:customStyle="1" w:styleId="TekstdymkaZnak">
    <w:name w:val="Tekst dymka Znak"/>
    <w:basedOn w:val="Domylnaczcionkaakapitu"/>
    <w:link w:val="Tekstdymka"/>
    <w:uiPriority w:val="99"/>
    <w:semiHidden/>
    <w:rsid w:val="00857D1F"/>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221D"/>
    <w:pPr>
      <w:spacing w:after="0" w:line="240" w:lineRule="auto"/>
    </w:pPr>
    <w:rPr>
      <w:rFonts w:ascii="Times New Roman" w:eastAsia="Times New Roman" w:hAnsi="Times New Roman" w:cs="Times New Roman"/>
      <w:kern w:val="0"/>
      <w14:ligatures w14:val="none"/>
    </w:rPr>
  </w:style>
  <w:style w:type="paragraph" w:styleId="Nagwek1">
    <w:name w:val="heading 1"/>
    <w:next w:val="Normalny"/>
    <w:link w:val="Nagwek1Znak"/>
    <w:uiPriority w:val="9"/>
    <w:qFormat/>
    <w:pPr>
      <w:keepNext/>
      <w:keepLines/>
      <w:spacing w:after="0" w:line="259" w:lineRule="auto"/>
      <w:ind w:left="10" w:right="9" w:hanging="10"/>
      <w:outlineLvl w:val="0"/>
    </w:pPr>
    <w:rPr>
      <w:rFonts w:ascii="Times New Roman" w:eastAsia="Times New Roman" w:hAnsi="Times New Roman" w:cs="Times New Roman"/>
      <w:b/>
      <w:color w:val="000000"/>
    </w:rPr>
  </w:style>
  <w:style w:type="paragraph" w:styleId="Nagwek3">
    <w:name w:val="heading 3"/>
    <w:basedOn w:val="Normalny"/>
    <w:next w:val="Normalny"/>
    <w:link w:val="Nagwek3Znak"/>
    <w:uiPriority w:val="9"/>
    <w:unhideWhenUsed/>
    <w:qFormat/>
    <w:rsid w:val="001E221D"/>
    <w:pPr>
      <w:keepNext/>
      <w:keepLines/>
      <w:spacing w:before="40"/>
      <w:outlineLvl w:val="2"/>
    </w:pPr>
    <w:rPr>
      <w:rFonts w:asciiTheme="majorHAnsi" w:eastAsiaTheme="majorEastAsia" w:hAnsiTheme="majorHAnsi" w:cstheme="majorBidi"/>
      <w:color w:val="0A2F4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12709"/>
    <w:pPr>
      <w:autoSpaceDE w:val="0"/>
      <w:autoSpaceDN w:val="0"/>
      <w:adjustRightInd w:val="0"/>
      <w:spacing w:after="0" w:line="240" w:lineRule="auto"/>
    </w:pPr>
    <w:rPr>
      <w:rFonts w:ascii="Arial" w:eastAsia="Times New Roman" w:hAnsi="Arial" w:cs="Arial"/>
      <w:color w:val="000000"/>
      <w:kern w:val="0"/>
      <w:lang w:eastAsia="it-IT"/>
      <w14:ligatures w14:val="none"/>
    </w:rPr>
  </w:style>
  <w:style w:type="paragraph" w:customStyle="1" w:styleId="p1">
    <w:name w:val="p1"/>
    <w:basedOn w:val="Normalny"/>
    <w:rsid w:val="00412709"/>
    <w:pPr>
      <w:spacing w:before="100" w:beforeAutospacing="1" w:after="100" w:afterAutospacing="1"/>
    </w:pPr>
  </w:style>
  <w:style w:type="character" w:customStyle="1" w:styleId="s1">
    <w:name w:val="s1"/>
    <w:basedOn w:val="Domylnaczcionkaakapitu"/>
    <w:rsid w:val="00412709"/>
  </w:style>
  <w:style w:type="paragraph" w:customStyle="1" w:styleId="p2">
    <w:name w:val="p2"/>
    <w:basedOn w:val="Normalny"/>
    <w:rsid w:val="00412709"/>
    <w:pPr>
      <w:spacing w:before="100" w:beforeAutospacing="1" w:after="100" w:afterAutospacing="1"/>
    </w:pPr>
  </w:style>
  <w:style w:type="paragraph" w:customStyle="1" w:styleId="p3">
    <w:name w:val="p3"/>
    <w:basedOn w:val="Normalny"/>
    <w:rsid w:val="002F1AF5"/>
    <w:pPr>
      <w:spacing w:before="100" w:beforeAutospacing="1" w:after="100" w:afterAutospacing="1"/>
    </w:pPr>
  </w:style>
  <w:style w:type="character" w:customStyle="1" w:styleId="s2">
    <w:name w:val="s2"/>
    <w:basedOn w:val="Domylnaczcionkaakapitu"/>
    <w:rsid w:val="002F1AF5"/>
  </w:style>
  <w:style w:type="character" w:customStyle="1" w:styleId="Nagwek3Znak">
    <w:name w:val="Nagłówek 3 Znak"/>
    <w:basedOn w:val="Domylnaczcionkaakapitu"/>
    <w:link w:val="Nagwek3"/>
    <w:uiPriority w:val="9"/>
    <w:rsid w:val="001E221D"/>
    <w:rPr>
      <w:rFonts w:asciiTheme="majorHAnsi" w:eastAsiaTheme="majorEastAsia" w:hAnsiTheme="majorHAnsi" w:cstheme="majorBidi"/>
      <w:color w:val="0A2F40" w:themeColor="accent1" w:themeShade="7F"/>
      <w:lang w:bidi="pl-PL"/>
    </w:rPr>
  </w:style>
  <w:style w:type="paragraph" w:styleId="Bezodstpw">
    <w:name w:val="No Spacing"/>
    <w:uiPriority w:val="1"/>
    <w:qFormat/>
    <w:rsid w:val="001E221D"/>
    <w:pPr>
      <w:spacing w:after="0" w:line="240" w:lineRule="auto"/>
    </w:pPr>
    <w:rPr>
      <w:rFonts w:ascii="Times New Roman" w:eastAsia="Times New Roman" w:hAnsi="Times New Roman" w:cs="Times New Roman"/>
      <w:kern w:val="0"/>
      <w14:ligatures w14:val="none"/>
    </w:rPr>
  </w:style>
  <w:style w:type="paragraph" w:styleId="Tekstdymka">
    <w:name w:val="Balloon Text"/>
    <w:basedOn w:val="Normalny"/>
    <w:link w:val="TekstdymkaZnak"/>
    <w:uiPriority w:val="99"/>
    <w:semiHidden/>
    <w:unhideWhenUsed/>
    <w:rsid w:val="00857D1F"/>
    <w:rPr>
      <w:rFonts w:ascii="Tahoma" w:hAnsi="Tahoma" w:cs="Tahoma"/>
      <w:sz w:val="16"/>
      <w:szCs w:val="16"/>
    </w:rPr>
  </w:style>
  <w:style w:type="character" w:customStyle="1" w:styleId="TekstdymkaZnak">
    <w:name w:val="Tekst dymka Znak"/>
    <w:basedOn w:val="Domylnaczcionkaakapitu"/>
    <w:link w:val="Tekstdymka"/>
    <w:uiPriority w:val="99"/>
    <w:semiHidden/>
    <w:rsid w:val="00857D1F"/>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174">
      <w:bodyDiv w:val="1"/>
      <w:marLeft w:val="0"/>
      <w:marRight w:val="0"/>
      <w:marTop w:val="0"/>
      <w:marBottom w:val="0"/>
      <w:divBdr>
        <w:top w:val="none" w:sz="0" w:space="0" w:color="auto"/>
        <w:left w:val="none" w:sz="0" w:space="0" w:color="auto"/>
        <w:bottom w:val="none" w:sz="0" w:space="0" w:color="auto"/>
        <w:right w:val="none" w:sz="0" w:space="0" w:color="auto"/>
      </w:divBdr>
      <w:divsChild>
        <w:div w:id="203800367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27215181">
      <w:bodyDiv w:val="1"/>
      <w:marLeft w:val="0"/>
      <w:marRight w:val="0"/>
      <w:marTop w:val="0"/>
      <w:marBottom w:val="0"/>
      <w:divBdr>
        <w:top w:val="none" w:sz="0" w:space="0" w:color="auto"/>
        <w:left w:val="none" w:sz="0" w:space="0" w:color="auto"/>
        <w:bottom w:val="none" w:sz="0" w:space="0" w:color="auto"/>
        <w:right w:val="none" w:sz="0" w:space="0" w:color="auto"/>
      </w:divBdr>
    </w:div>
    <w:div w:id="162603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1114</Words>
  <Characters>6687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Karaś</dc:creator>
  <cp:keywords/>
  <cp:lastModifiedBy>GT</cp:lastModifiedBy>
  <cp:revision>3</cp:revision>
  <dcterms:created xsi:type="dcterms:W3CDTF">2025-06-24T08:21:00Z</dcterms:created>
  <dcterms:modified xsi:type="dcterms:W3CDTF">2025-06-24T08:39:00Z</dcterms:modified>
</cp:coreProperties>
</file>