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nasl.</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„Migrácia registratúrneho systému do cloudu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bookmarkStart w:id="0" w:name="_Hlk206593524"/>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w:t>
      </w:r>
      <w:r w:rsidR="004B100C" w:rsidRPr="009D3F51">
        <w:rPr>
          <w:rFonts w:asciiTheme="minorHAnsi" w:hAnsiTheme="minorHAnsi" w:cstheme="minorBidi"/>
          <w:strike/>
          <w:color w:val="EE0000"/>
          <w:sz w:val="22"/>
          <w:szCs w:val="22"/>
          <w:highlight w:val="yellow"/>
        </w:rPr>
        <w:t xml:space="preserve">pre </w:t>
      </w:r>
      <w:r w:rsidR="00902E5C" w:rsidRPr="009D3F51">
        <w:rPr>
          <w:rFonts w:asciiTheme="minorHAnsi" w:hAnsiTheme="minorHAnsi" w:cstheme="minorBidi"/>
          <w:strike/>
          <w:color w:val="EE0000"/>
          <w:sz w:val="22"/>
          <w:szCs w:val="22"/>
          <w:highlight w:val="yellow"/>
        </w:rPr>
        <w:t>počet</w:t>
      </w:r>
      <w:r w:rsidR="004B100C" w:rsidRPr="009D3F51">
        <w:rPr>
          <w:rFonts w:asciiTheme="minorHAnsi" w:hAnsiTheme="minorHAnsi" w:cstheme="minorBidi"/>
          <w:strike/>
          <w:color w:val="EE0000"/>
          <w:sz w:val="22"/>
          <w:szCs w:val="22"/>
          <w:highlight w:val="yellow"/>
        </w:rPr>
        <w:t xml:space="preserve"> </w:t>
      </w:r>
      <w:r w:rsidR="00BC2148" w:rsidRPr="009D3F51">
        <w:rPr>
          <w:rFonts w:asciiTheme="minorHAnsi" w:hAnsiTheme="minorHAnsi" w:cstheme="minorBidi"/>
          <w:strike/>
          <w:color w:val="EE0000"/>
          <w:sz w:val="22"/>
          <w:szCs w:val="22"/>
          <w:highlight w:val="yellow"/>
        </w:rPr>
        <w:t>7</w:t>
      </w:r>
      <w:r w:rsidR="00DD5D4C" w:rsidRPr="009D3F51">
        <w:rPr>
          <w:rFonts w:asciiTheme="minorHAnsi" w:hAnsiTheme="minorHAnsi" w:cstheme="minorBidi"/>
          <w:strike/>
          <w:color w:val="EE0000"/>
          <w:sz w:val="22"/>
          <w:szCs w:val="22"/>
          <w:highlight w:val="yellow"/>
        </w:rPr>
        <w:t xml:space="preserve">00 </w:t>
      </w:r>
      <w:r w:rsidR="004B100C" w:rsidRPr="009D3F51">
        <w:rPr>
          <w:rFonts w:asciiTheme="minorHAnsi" w:hAnsiTheme="minorHAnsi" w:cstheme="minorBidi"/>
          <w:strike/>
          <w:color w:val="EE0000"/>
          <w:sz w:val="22"/>
          <w:szCs w:val="22"/>
          <w:highlight w:val="yellow"/>
        </w:rPr>
        <w:t>koncových užívateľov</w:t>
      </w:r>
      <w:r w:rsidR="7EF470E3" w:rsidRPr="009D3F51">
        <w:rPr>
          <w:rFonts w:asciiTheme="minorHAnsi" w:hAnsiTheme="minorHAnsi" w:cstheme="minorBidi"/>
          <w:strike/>
          <w:color w:val="EE0000"/>
          <w:sz w:val="22"/>
          <w:szCs w:val="22"/>
          <w:highlight w:val="yellow"/>
        </w:rPr>
        <w:t>,</w:t>
      </w:r>
      <w:r w:rsidR="7EF470E3" w:rsidRPr="009D3F51">
        <w:rPr>
          <w:rFonts w:asciiTheme="minorHAnsi" w:hAnsiTheme="minorHAnsi" w:cstheme="minorBidi"/>
          <w:color w:val="EE0000"/>
          <w:sz w:val="22"/>
          <w:szCs w:val="22"/>
        </w:rPr>
        <w:t xml:space="preserve"> </w:t>
      </w:r>
      <w:r w:rsidR="7EF470E3" w:rsidRPr="00AA663C">
        <w:rPr>
          <w:rFonts w:asciiTheme="minorHAnsi" w:hAnsiTheme="minorHAnsi" w:cstheme="minorBidi"/>
          <w:sz w:val="22"/>
          <w:szCs w:val="22"/>
        </w:rPr>
        <w:t>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bookmarkEnd w:id="0"/>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r w:rsidR="00E50823">
        <w:rPr>
          <w:rFonts w:asciiTheme="minorHAnsi" w:hAnsiTheme="minorHAnsi" w:cstheme="minorBidi"/>
          <w:b/>
          <w:bCs/>
        </w:rPr>
        <w:t>Exit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Exit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1"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Exit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iela v cloude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ako aj ďalších osôb 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1"/>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r w:rsidR="00167B99">
        <w:rPr>
          <w:rFonts w:asciiTheme="minorHAnsi" w:hAnsiTheme="minorHAnsi" w:cstheme="minorHAnsi"/>
        </w:rPr>
        <w:t>xxxxxxxxxxxxxxxxxxxxxxxxxxxxxx</w:t>
      </w:r>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xxxxxxxxxxxxxxxxxxxxxxxxxxxxxx</w:t>
      </w:r>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2" w:name="_Hlk72005388"/>
      <w:r w:rsidRPr="004B03BC">
        <w:rPr>
          <w:rFonts w:asciiTheme="minorHAnsi" w:hAnsiTheme="minorHAnsi" w:cstheme="minorHAnsi"/>
        </w:rPr>
        <w:t>Suma bez DPH/mesačný paušál</w:t>
      </w:r>
      <w:bookmarkStart w:id="3" w:name="_Hlk72005355"/>
      <w:bookmarkEnd w:id="2"/>
      <w:r w:rsidR="00D069D0">
        <w:rPr>
          <w:rFonts w:asciiTheme="minorHAnsi" w:hAnsiTheme="minorHAnsi" w:cstheme="minorHAnsi"/>
        </w:rPr>
        <w:tab/>
      </w:r>
      <w:bookmarkEnd w:id="3"/>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4"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4"/>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Pr>
          <w:rFonts w:asciiTheme="minorHAnsi" w:hAnsiTheme="minorHAnsi" w:cstheme="minorHAnsi"/>
        </w:rPr>
        <w:t>xxxxxxxxxxxxxxxxxxxxxxxxxxxx</w:t>
      </w:r>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Cena bez DPH/1 človekohodina</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človekohodinám)</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Cena bez DPH/1 človekohodina</w:t>
      </w:r>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300 človekohodinám)</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791757">
        <w:rPr>
          <w:rFonts w:asciiTheme="minorHAnsi" w:hAnsiTheme="minorHAnsi" w:cstheme="minorHAnsi"/>
        </w:rPr>
        <w:t>xxxxxxxxxxxxxxxxxxxxxxxxxxxxxxxxxxxxxxx</w:t>
      </w:r>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r w:rsidRPr="00836201">
        <w:rPr>
          <w:rFonts w:asciiTheme="minorHAnsi" w:hAnsiTheme="minorHAnsi" w:cstheme="minorHAnsi"/>
          <w:b/>
          <w:bCs/>
        </w:rPr>
        <w:t>Exit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Cena bez DPH/1 človekohodina</w:t>
      </w:r>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100 človekohodinám)</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6C5B85"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6C5B85">
        <w:rPr>
          <w:rFonts w:asciiTheme="minorHAnsi" w:hAnsiTheme="minorHAnsi" w:cstheme="minorHAnsi"/>
          <w:lang w:eastAsia="cs-CZ"/>
        </w:rPr>
        <w:t xml:space="preserve">XXXXXXXX </w:t>
      </w:r>
      <w:r w:rsidR="007779E9" w:rsidRPr="006C5B85">
        <w:rPr>
          <w:rFonts w:asciiTheme="minorHAnsi" w:hAnsiTheme="minorHAnsi" w:cstheme="minorHAnsi"/>
        </w:rPr>
        <w:t>Eur</w:t>
      </w:r>
    </w:p>
    <w:p w14:paraId="5B90FE83" w14:textId="0BD27F88" w:rsidR="007779E9" w:rsidRPr="006C5B85"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sidRPr="006C5B85">
        <w:rPr>
          <w:rFonts w:asciiTheme="minorHAnsi" w:hAnsiTheme="minorHAnsi" w:cstheme="minorHAnsi"/>
        </w:rPr>
        <w:tab/>
      </w:r>
      <w:r w:rsidR="007779E9" w:rsidRPr="006C5B85">
        <w:rPr>
          <w:rFonts w:asciiTheme="minorHAnsi" w:hAnsiTheme="minorHAnsi" w:cstheme="minorBidi"/>
          <w:bdr w:val="single" w:sz="4" w:space="0" w:color="auto"/>
          <w:lang w:eastAsia="cs-CZ"/>
        </w:rPr>
        <w:t>Celková cena s DPH</w:t>
      </w:r>
      <w:r w:rsidR="007779E9" w:rsidRPr="006C5B85">
        <w:rPr>
          <w:rFonts w:asciiTheme="minorHAnsi" w:hAnsiTheme="minorHAnsi" w:cstheme="minorBidi"/>
          <w:bdr w:val="single" w:sz="4" w:space="0" w:color="auto"/>
          <w:lang w:eastAsia="cs-CZ"/>
        </w:rPr>
        <w:tab/>
      </w:r>
      <w:r w:rsidR="007779E9" w:rsidRPr="006C5B85">
        <w:rPr>
          <w:rFonts w:asciiTheme="minorHAnsi" w:hAnsiTheme="minorHAnsi" w:cstheme="minorBidi"/>
          <w:b/>
          <w:bCs/>
          <w:bdr w:val="single" w:sz="4" w:space="0" w:color="auto"/>
          <w:lang w:eastAsia="cs-CZ"/>
        </w:rPr>
        <w:t>XXXXXXXX Eur</w:t>
      </w:r>
      <w:r w:rsidR="007779E9" w:rsidRPr="006C5B85">
        <w:rPr>
          <w:rFonts w:asciiTheme="minorHAnsi" w:hAnsiTheme="minorHAnsi" w:cstheme="minorBidi"/>
          <w:color w:val="BFBFBF" w:themeColor="background1" w:themeShade="BF"/>
          <w:lang w:eastAsia="cs-CZ"/>
        </w:rPr>
        <w:t xml:space="preserve"> </w:t>
      </w:r>
      <w:r w:rsidR="007779E9" w:rsidRPr="006C5B85">
        <w:rPr>
          <w:rFonts w:asciiTheme="minorHAnsi" w:hAnsiTheme="minorHAnsi" w:cstheme="minorBidi"/>
          <w:lang w:eastAsia="cs-CZ"/>
        </w:rPr>
        <w:t>spolu</w:t>
      </w:r>
    </w:p>
    <w:p w14:paraId="6480CF83" w14:textId="7F5E4AF3" w:rsidR="007779E9" w:rsidRPr="006C5B85" w:rsidRDefault="007779E9" w:rsidP="00430216">
      <w:pPr>
        <w:tabs>
          <w:tab w:val="left" w:pos="1843"/>
          <w:tab w:val="left" w:pos="6096"/>
        </w:tabs>
        <w:spacing w:after="0" w:line="240" w:lineRule="auto"/>
        <w:ind w:left="1843"/>
        <w:jc w:val="both"/>
        <w:rPr>
          <w:rFonts w:asciiTheme="minorHAnsi" w:hAnsiTheme="minorHAnsi" w:cstheme="minorHAnsi"/>
        </w:rPr>
      </w:pPr>
      <w:r w:rsidRPr="006C5B85">
        <w:rPr>
          <w:rFonts w:asciiTheme="minorHAnsi" w:hAnsiTheme="minorHAnsi" w:cstheme="minorHAnsi"/>
        </w:rPr>
        <w:t>(slovom xxxxxxxxxxxxxxxxxxxxxxxxxxxxxxxxxxxxxxx Eur) (ďalej len ako „</w:t>
      </w:r>
      <w:r w:rsidRPr="006C5B85">
        <w:rPr>
          <w:rFonts w:asciiTheme="minorHAnsi" w:hAnsiTheme="minorHAnsi" w:cstheme="minorHAnsi"/>
          <w:b/>
        </w:rPr>
        <w:t>Cena</w:t>
      </w:r>
      <w:r w:rsidR="00430216" w:rsidRPr="006C5B85">
        <w:rPr>
          <w:rFonts w:asciiTheme="minorHAnsi" w:hAnsiTheme="minorHAnsi" w:cstheme="minorHAnsi"/>
          <w:b/>
        </w:rPr>
        <w:t xml:space="preserve"> za </w:t>
      </w:r>
      <w:proofErr w:type="spellStart"/>
      <w:r w:rsidR="00430216" w:rsidRPr="006C5B85">
        <w:rPr>
          <w:rFonts w:asciiTheme="minorHAnsi" w:hAnsiTheme="minorHAnsi" w:cstheme="minorHAnsi"/>
          <w:b/>
        </w:rPr>
        <w:t>Exit</w:t>
      </w:r>
      <w:proofErr w:type="spellEnd"/>
      <w:r w:rsidR="00430216" w:rsidRPr="006C5B85">
        <w:rPr>
          <w:rFonts w:asciiTheme="minorHAnsi" w:hAnsiTheme="minorHAnsi" w:cstheme="minorHAnsi"/>
          <w:b/>
        </w:rPr>
        <w:t xml:space="preserve"> služb</w:t>
      </w:r>
      <w:r w:rsidR="00AA7792" w:rsidRPr="006C5B85">
        <w:rPr>
          <w:rFonts w:asciiTheme="minorHAnsi" w:hAnsiTheme="minorHAnsi" w:cstheme="minorHAnsi"/>
          <w:b/>
        </w:rPr>
        <w:t>y</w:t>
      </w:r>
      <w:r w:rsidRPr="006C5B85">
        <w:rPr>
          <w:rFonts w:asciiTheme="minorHAnsi" w:hAnsiTheme="minorHAnsi" w:cstheme="minorHAnsi"/>
        </w:rPr>
        <w:t>“).</w:t>
      </w:r>
    </w:p>
    <w:p w14:paraId="1DD47C2E" w14:textId="6220D21F" w:rsidR="00F56228" w:rsidRPr="006C5B85" w:rsidRDefault="00F56228" w:rsidP="00F56228">
      <w:pPr>
        <w:pStyle w:val="ListParagraph"/>
        <w:numPr>
          <w:ilvl w:val="0"/>
          <w:numId w:val="48"/>
        </w:numPr>
        <w:spacing w:line="240" w:lineRule="auto"/>
        <w:ind w:left="425" w:hanging="357"/>
        <w:jc w:val="both"/>
        <w:rPr>
          <w:rFonts w:asciiTheme="minorHAnsi" w:hAnsiTheme="minorHAnsi" w:cstheme="minorHAnsi"/>
        </w:rPr>
      </w:pPr>
      <w:bookmarkStart w:id="5" w:name="_Hlk206417099"/>
      <w:r w:rsidRPr="006C5B85">
        <w:rPr>
          <w:rFonts w:asciiTheme="minorHAnsi" w:hAnsiTheme="minorHAnsi" w:cstheme="minorHAnsi"/>
        </w:rPr>
        <w:t xml:space="preserve">Cena za </w:t>
      </w:r>
      <w:proofErr w:type="spellStart"/>
      <w:r w:rsidR="00E857F9" w:rsidRPr="006C5B85">
        <w:rPr>
          <w:rFonts w:asciiTheme="minorHAnsi" w:hAnsiTheme="minorHAnsi" w:cstheme="minorHAnsi"/>
          <w:b/>
          <w:bCs/>
        </w:rPr>
        <w:t>P</w:t>
      </w:r>
      <w:r w:rsidRPr="006C5B85">
        <w:rPr>
          <w:rFonts w:asciiTheme="minorHAnsi" w:hAnsiTheme="minorHAnsi" w:cstheme="minorHAnsi"/>
          <w:b/>
          <w:bCs/>
        </w:rPr>
        <w:t>redimplementačnú</w:t>
      </w:r>
      <w:proofErr w:type="spellEnd"/>
      <w:r w:rsidRPr="006C5B85">
        <w:rPr>
          <w:rFonts w:asciiTheme="minorHAnsi" w:hAnsiTheme="minorHAnsi" w:cstheme="minorHAnsi"/>
          <w:b/>
          <w:bCs/>
        </w:rPr>
        <w:t xml:space="preserve"> podporu</w:t>
      </w:r>
      <w:r w:rsidRPr="006C5B85">
        <w:rPr>
          <w:rFonts w:asciiTheme="minorHAnsi" w:hAnsiTheme="minorHAnsi" w:cstheme="minorHAnsi"/>
        </w:rPr>
        <w:t xml:space="preserve"> súčasného riešenia je dohodnutá na:</w:t>
      </w:r>
    </w:p>
    <w:p w14:paraId="72F3EE5B" w14:textId="44434E4F" w:rsidR="00F56228" w:rsidRPr="006C5B85" w:rsidRDefault="00F56228" w:rsidP="00F81124">
      <w:pPr>
        <w:pStyle w:val="ListParagraph"/>
        <w:tabs>
          <w:tab w:val="left" w:pos="1843"/>
          <w:tab w:val="left" w:pos="6096"/>
        </w:tabs>
        <w:spacing w:after="0" w:line="240" w:lineRule="auto"/>
        <w:ind w:left="1843"/>
        <w:jc w:val="both"/>
        <w:rPr>
          <w:rFonts w:asciiTheme="minorHAnsi" w:hAnsiTheme="minorHAnsi" w:cstheme="minorHAnsi"/>
        </w:rPr>
      </w:pPr>
      <w:r w:rsidRPr="006C5B85">
        <w:rPr>
          <w:rFonts w:asciiTheme="minorHAnsi" w:hAnsiTheme="minorHAnsi" w:cstheme="minorHAnsi"/>
        </w:rPr>
        <w:t>Celková cena bez DPH</w:t>
      </w:r>
      <w:r w:rsidRPr="006C5B85">
        <w:rPr>
          <w:rFonts w:asciiTheme="minorHAnsi" w:hAnsiTheme="minorHAnsi" w:cstheme="minorHAnsi"/>
        </w:rPr>
        <w:tab/>
        <w:t>XXXXX</w:t>
      </w:r>
      <w:r w:rsidR="00E857F9" w:rsidRPr="006C5B85">
        <w:rPr>
          <w:rFonts w:asciiTheme="minorHAnsi" w:hAnsiTheme="minorHAnsi" w:cstheme="minorHAnsi"/>
        </w:rPr>
        <w:t>X</w:t>
      </w:r>
      <w:r w:rsidRPr="006C5B85">
        <w:rPr>
          <w:rFonts w:asciiTheme="minorHAnsi" w:hAnsiTheme="minorHAnsi" w:cstheme="minorHAnsi"/>
        </w:rPr>
        <w:t>XX Eur</w:t>
      </w:r>
    </w:p>
    <w:p w14:paraId="130C0449" w14:textId="77777777" w:rsidR="00F56228" w:rsidRPr="006C5B85" w:rsidRDefault="00F56228" w:rsidP="00F56228">
      <w:pPr>
        <w:tabs>
          <w:tab w:val="left" w:pos="1843"/>
          <w:tab w:val="left" w:pos="6096"/>
        </w:tabs>
        <w:spacing w:after="0" w:line="240" w:lineRule="auto"/>
        <w:jc w:val="both"/>
        <w:rPr>
          <w:rFonts w:asciiTheme="minorHAnsi" w:hAnsiTheme="minorHAnsi" w:cstheme="minorHAnsi"/>
          <w:lang w:eastAsia="cs-CZ"/>
        </w:rPr>
      </w:pPr>
      <w:r w:rsidRPr="006C5B85">
        <w:rPr>
          <w:rFonts w:asciiTheme="minorHAnsi" w:hAnsiTheme="minorHAnsi" w:cstheme="minorHAnsi"/>
          <w:lang w:eastAsia="cs-CZ"/>
        </w:rPr>
        <w:tab/>
        <w:t>DPH 23 %</w:t>
      </w:r>
      <w:r w:rsidRPr="006C5B85">
        <w:rPr>
          <w:rFonts w:asciiTheme="minorHAnsi" w:hAnsiTheme="minorHAnsi" w:cstheme="minorHAnsi"/>
          <w:lang w:eastAsia="cs-CZ"/>
        </w:rPr>
        <w:tab/>
        <w:t xml:space="preserve">XXXXXXXX Eur </w:t>
      </w:r>
    </w:p>
    <w:p w14:paraId="4F0D154C" w14:textId="77777777" w:rsidR="00F56228" w:rsidRPr="006C5B85" w:rsidRDefault="00F56228" w:rsidP="00F56228">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6C5B85">
        <w:rPr>
          <w:rFonts w:asciiTheme="minorHAnsi" w:hAnsiTheme="minorHAnsi" w:cstheme="minorHAnsi"/>
          <w:lang w:eastAsia="cs-CZ"/>
        </w:rPr>
        <w:tab/>
      </w:r>
      <w:r w:rsidRPr="006C5B85">
        <w:rPr>
          <w:rFonts w:asciiTheme="minorHAnsi" w:hAnsiTheme="minorHAnsi" w:cstheme="minorHAnsi"/>
          <w:bdr w:val="single" w:sz="4" w:space="0" w:color="auto"/>
          <w:lang w:eastAsia="cs-CZ"/>
        </w:rPr>
        <w:t>Celková cena s DPH</w:t>
      </w:r>
      <w:r w:rsidRPr="006C5B85">
        <w:rPr>
          <w:rFonts w:asciiTheme="minorHAnsi" w:hAnsiTheme="minorHAnsi" w:cstheme="minorHAnsi"/>
          <w:bdr w:val="single" w:sz="4" w:space="0" w:color="auto"/>
          <w:lang w:eastAsia="cs-CZ"/>
        </w:rPr>
        <w:tab/>
      </w:r>
      <w:r w:rsidRPr="006C5B85">
        <w:rPr>
          <w:rFonts w:asciiTheme="minorHAnsi" w:hAnsiTheme="minorHAnsi" w:cstheme="minorHAnsi"/>
          <w:b/>
          <w:bCs/>
          <w:bdr w:val="single" w:sz="4" w:space="0" w:color="auto"/>
          <w:lang w:eastAsia="cs-CZ"/>
        </w:rPr>
        <w:t>XXXXXXXX Eur</w:t>
      </w:r>
    </w:p>
    <w:p w14:paraId="43F6E7F7" w14:textId="1889F476" w:rsidR="00F56228" w:rsidRPr="006C5B85" w:rsidRDefault="00F56228" w:rsidP="00F56228">
      <w:pPr>
        <w:pStyle w:val="ListParagraph"/>
        <w:spacing w:after="0" w:line="240" w:lineRule="auto"/>
        <w:ind w:left="1843"/>
        <w:jc w:val="both"/>
        <w:rPr>
          <w:rFonts w:asciiTheme="minorHAnsi" w:hAnsiTheme="minorHAnsi" w:cstheme="minorHAnsi"/>
        </w:rPr>
      </w:pPr>
      <w:r w:rsidRPr="006C5B85">
        <w:rPr>
          <w:rFonts w:asciiTheme="minorHAnsi" w:hAnsiTheme="minorHAnsi" w:cstheme="minorHAnsi"/>
        </w:rPr>
        <w:t xml:space="preserve">(slovom </w:t>
      </w:r>
      <w:proofErr w:type="spellStart"/>
      <w:r w:rsidRPr="006C5B85">
        <w:rPr>
          <w:rFonts w:asciiTheme="minorHAnsi" w:hAnsiTheme="minorHAnsi" w:cstheme="minorHAnsi"/>
        </w:rPr>
        <w:t>xxxxxxxxxxxxxxxxxxxxxxxxxxxxxx</w:t>
      </w:r>
      <w:proofErr w:type="spellEnd"/>
      <w:r w:rsidRPr="006C5B85">
        <w:rPr>
          <w:rFonts w:asciiTheme="minorHAnsi" w:hAnsiTheme="minorHAnsi" w:cstheme="minorHAnsi"/>
        </w:rPr>
        <w:t xml:space="preserve"> Eur) (ďalej len ako „</w:t>
      </w:r>
      <w:r w:rsidRPr="006C5B85">
        <w:rPr>
          <w:rFonts w:asciiTheme="minorHAnsi" w:hAnsiTheme="minorHAnsi" w:cstheme="minorHAnsi"/>
          <w:b/>
        </w:rPr>
        <w:t xml:space="preserve">Cena za </w:t>
      </w:r>
      <w:proofErr w:type="spellStart"/>
      <w:r w:rsidRPr="006C5B85">
        <w:rPr>
          <w:rFonts w:asciiTheme="minorHAnsi" w:hAnsiTheme="minorHAnsi" w:cstheme="minorHAnsi"/>
          <w:b/>
        </w:rPr>
        <w:t>Predimplementačnú</w:t>
      </w:r>
      <w:proofErr w:type="spellEnd"/>
      <w:r w:rsidRPr="006C5B85">
        <w:rPr>
          <w:rFonts w:asciiTheme="minorHAnsi" w:hAnsiTheme="minorHAnsi" w:cstheme="minorHAnsi"/>
          <w:b/>
        </w:rPr>
        <w:t xml:space="preserve"> podporu</w:t>
      </w:r>
      <w:r w:rsidRPr="006C5B85">
        <w:rPr>
          <w:rFonts w:asciiTheme="minorHAnsi" w:hAnsiTheme="minorHAnsi" w:cstheme="minorHAnsi"/>
        </w:rPr>
        <w:t>“).</w:t>
      </w:r>
    </w:p>
    <w:bookmarkEnd w:id="5"/>
    <w:p w14:paraId="12043012" w14:textId="722DC306" w:rsidR="00F56228" w:rsidRPr="006C5B85" w:rsidRDefault="00F56228" w:rsidP="00F56228">
      <w:pPr>
        <w:pStyle w:val="ListParagraph"/>
        <w:tabs>
          <w:tab w:val="left" w:pos="1843"/>
          <w:tab w:val="left" w:pos="6096"/>
        </w:tabs>
        <w:spacing w:after="0" w:line="240" w:lineRule="auto"/>
        <w:ind w:left="796"/>
        <w:jc w:val="both"/>
        <w:rPr>
          <w:rFonts w:asciiTheme="minorHAnsi" w:hAnsiTheme="minorHAnsi" w:cstheme="minorHAnsi"/>
        </w:rPr>
      </w:pP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006C5B85">
        <w:rPr>
          <w:rFonts w:asciiTheme="minorHAnsi" w:hAnsiTheme="minorHAnsi" w:cstheme="minorBidi"/>
          <w:b/>
          <w:lang w:eastAsia="cs-CZ"/>
        </w:rPr>
        <w:t>Cena za</w:t>
      </w:r>
      <w:r w:rsidR="005E6F0C" w:rsidRPr="006C5B85">
        <w:rPr>
          <w:rFonts w:asciiTheme="minorHAnsi" w:hAnsiTheme="minorHAnsi" w:cstheme="minorBidi"/>
        </w:rPr>
        <w:t xml:space="preserve"> </w:t>
      </w:r>
      <w:r w:rsidR="00F52329" w:rsidRPr="006C5B85">
        <w:rPr>
          <w:rFonts w:asciiTheme="minorHAnsi" w:hAnsiTheme="minorHAnsi" w:cstheme="minorBidi"/>
          <w:b/>
        </w:rPr>
        <w:t>P</w:t>
      </w:r>
      <w:r w:rsidR="005E6F0C" w:rsidRPr="006C5B85">
        <w:rPr>
          <w:rFonts w:asciiTheme="minorHAnsi" w:hAnsiTheme="minorHAnsi" w:cstheme="minorBidi"/>
          <w:b/>
        </w:rPr>
        <w:t>revádzk</w:t>
      </w:r>
      <w:r w:rsidRPr="006C5B85">
        <w:rPr>
          <w:rFonts w:asciiTheme="minorHAnsi" w:hAnsiTheme="minorHAnsi" w:cstheme="minorBidi"/>
          <w:b/>
        </w:rPr>
        <w:t>u</w:t>
      </w:r>
      <w:r w:rsidR="005E6F0C" w:rsidRPr="006C5B85">
        <w:rPr>
          <w:rFonts w:asciiTheme="minorHAnsi" w:hAnsiTheme="minorHAnsi" w:cstheme="minorBidi"/>
        </w:rPr>
        <w:t xml:space="preserve"> pokrýva všetky a</w:t>
      </w:r>
      <w:r w:rsidR="00B67A44" w:rsidRPr="006C5B85">
        <w:rPr>
          <w:rFonts w:asciiTheme="minorHAnsi" w:hAnsiTheme="minorHAnsi" w:cstheme="minorBidi"/>
        </w:rPr>
        <w:t> </w:t>
      </w:r>
      <w:r w:rsidR="005E6F0C" w:rsidRPr="006C5B85">
        <w:rPr>
          <w:rFonts w:asciiTheme="minorHAnsi" w:hAnsiTheme="minorHAnsi" w:cstheme="minorBidi"/>
        </w:rPr>
        <w:t>akékoľvek náklady Poskytovateľa v</w:t>
      </w:r>
      <w:r w:rsidR="00B67A44" w:rsidRPr="006C5B85">
        <w:rPr>
          <w:rFonts w:asciiTheme="minorHAnsi" w:hAnsiTheme="minorHAnsi" w:cstheme="minorBidi"/>
        </w:rPr>
        <w:t> </w:t>
      </w:r>
      <w:r w:rsidR="005E6F0C" w:rsidRPr="006C5B85">
        <w:rPr>
          <w:rFonts w:asciiTheme="minorHAnsi" w:hAnsiTheme="minorHAnsi" w:cstheme="minorBidi"/>
        </w:rPr>
        <w:t xml:space="preserve">rámci poskytovania </w:t>
      </w:r>
      <w:r w:rsidR="00E839F8" w:rsidRPr="006C5B85">
        <w:rPr>
          <w:rFonts w:asciiTheme="minorHAnsi" w:hAnsiTheme="minorHAnsi" w:cstheme="minorBidi"/>
        </w:rPr>
        <w:t>služby</w:t>
      </w:r>
      <w:r w:rsidR="005E6F0C" w:rsidRPr="006C5B85">
        <w:rPr>
          <w:rFonts w:asciiTheme="minorHAnsi" w:hAnsiTheme="minorHAnsi" w:cstheme="minorBidi"/>
        </w:rPr>
        <w:t xml:space="preserve"> </w:t>
      </w:r>
      <w:r w:rsidR="00F52329" w:rsidRPr="006C5B85">
        <w:rPr>
          <w:rFonts w:asciiTheme="minorHAnsi" w:hAnsiTheme="minorHAnsi" w:cstheme="minorBidi"/>
        </w:rPr>
        <w:t>P</w:t>
      </w:r>
      <w:r w:rsidR="005E6F0C" w:rsidRPr="006C5B85">
        <w:rPr>
          <w:rFonts w:asciiTheme="minorHAnsi" w:hAnsiTheme="minorHAnsi" w:cstheme="minorBidi"/>
        </w:rPr>
        <w:t>revádzk</w:t>
      </w:r>
      <w:r w:rsidR="00E839F8" w:rsidRPr="006C5B85">
        <w:rPr>
          <w:rFonts w:asciiTheme="minorHAnsi" w:hAnsiTheme="minorHAnsi" w:cstheme="minorBidi"/>
        </w:rPr>
        <w:t>a</w:t>
      </w:r>
      <w:r w:rsidR="005E6F0C" w:rsidRPr="006C5B85">
        <w:rPr>
          <w:rFonts w:asciiTheme="minorHAnsi" w:hAnsiTheme="minorHAnsi" w:cstheme="minorBidi"/>
        </w:rPr>
        <w:t xml:space="preserve"> v danom </w:t>
      </w:r>
      <w:r w:rsidR="00672BF9" w:rsidRPr="006C5B85">
        <w:rPr>
          <w:rFonts w:asciiTheme="minorHAnsi" w:hAnsiTheme="minorHAnsi" w:cstheme="minorBidi"/>
        </w:rPr>
        <w:t>mesiaci</w:t>
      </w:r>
      <w:r w:rsidR="005E6F0C" w:rsidRPr="006C5B85">
        <w:rPr>
          <w:rFonts w:asciiTheme="minorHAnsi" w:hAnsiTheme="minorHAnsi" w:cstheme="minorBidi"/>
        </w:rPr>
        <w:t>, a to bez ohľadu na množstvo prác</w:t>
      </w:r>
      <w:r w:rsidR="005E6F0C" w:rsidRPr="5734C085">
        <w:rPr>
          <w:rFonts w:asciiTheme="minorHAnsi" w:hAnsiTheme="minorHAnsi" w:cstheme="minorBidi"/>
        </w:rPr>
        <w:t xml:space="preserve">,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r w:rsidR="00976A34" w:rsidRPr="7D38EC07">
        <w:rPr>
          <w:rFonts w:asciiTheme="minorHAnsi" w:hAnsiTheme="minorHAnsi" w:cstheme="minorBidi"/>
        </w:rPr>
        <w:t xml:space="preserve">človekohodín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človekohodín</w:t>
      </w:r>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počet človeko</w:t>
      </w:r>
      <w:r w:rsidR="005C141A" w:rsidRPr="7D38EC07">
        <w:rPr>
          <w:rFonts w:asciiTheme="minorHAnsi" w:hAnsiTheme="minorHAnsi" w:cstheme="minorBidi"/>
        </w:rPr>
        <w:t xml:space="preserve">hodín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človekohodín mesačne + nevyčerpaný počet človekohodín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človekohodín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človekohodín,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1A9C1504"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bookmarkStart w:id="6" w:name="_Hlk206417148"/>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006C5B85">
        <w:rPr>
          <w:rFonts w:asciiTheme="minorHAnsi" w:hAnsiTheme="minorHAnsi" w:cstheme="minorBidi"/>
          <w:b/>
          <w:bCs/>
        </w:rPr>
        <w:t xml:space="preserve">predmetu </w:t>
      </w:r>
      <w:r w:rsidR="00215849" w:rsidRPr="006C5B85">
        <w:rPr>
          <w:rFonts w:asciiTheme="minorHAnsi" w:hAnsiTheme="minorHAnsi" w:cstheme="minorBidi"/>
          <w:b/>
          <w:bCs/>
        </w:rPr>
        <w:t>Z</w:t>
      </w:r>
      <w:r w:rsidRPr="006C5B85">
        <w:rPr>
          <w:rFonts w:asciiTheme="minorHAnsi" w:hAnsiTheme="minorHAnsi" w:cstheme="minorBidi"/>
          <w:b/>
          <w:bCs/>
        </w:rPr>
        <w:t xml:space="preserve">mluvy </w:t>
      </w:r>
      <w:r w:rsidRPr="006C5B85">
        <w:rPr>
          <w:rFonts w:asciiTheme="minorHAnsi" w:hAnsiTheme="minorHAnsi" w:cstheme="minorBidi"/>
        </w:rPr>
        <w:t xml:space="preserve">v zmysle článku </w:t>
      </w:r>
      <w:r w:rsidR="008A6738" w:rsidRPr="006C5B85">
        <w:rPr>
          <w:rFonts w:asciiTheme="minorHAnsi" w:hAnsiTheme="minorHAnsi" w:cstheme="minorBidi"/>
        </w:rPr>
        <w:t xml:space="preserve">II </w:t>
      </w:r>
      <w:r w:rsidRPr="006C5B85">
        <w:rPr>
          <w:rFonts w:asciiTheme="minorHAnsi" w:hAnsiTheme="minorHAnsi" w:cstheme="minorBidi"/>
        </w:rPr>
        <w:t xml:space="preserve">tejto </w:t>
      </w:r>
      <w:r w:rsidR="00215849" w:rsidRPr="006C5B85">
        <w:rPr>
          <w:rFonts w:asciiTheme="minorHAnsi" w:hAnsiTheme="minorHAnsi" w:cstheme="minorBidi"/>
        </w:rPr>
        <w:t>Z</w:t>
      </w:r>
      <w:r w:rsidRPr="006C5B85">
        <w:rPr>
          <w:rFonts w:asciiTheme="minorHAnsi" w:hAnsiTheme="minorHAnsi" w:cstheme="minorBidi"/>
        </w:rPr>
        <w:t>mluvy (</w:t>
      </w:r>
      <w:r w:rsidR="008421E4" w:rsidRPr="006C5B85">
        <w:rPr>
          <w:rFonts w:asciiTheme="minorHAnsi" w:hAnsiTheme="minorHAnsi" w:cstheme="minorBidi"/>
        </w:rPr>
        <w:t xml:space="preserve">cena za Dielo a služby </w:t>
      </w:r>
      <w:r w:rsidRPr="006C5B85">
        <w:rPr>
          <w:rFonts w:asciiTheme="minorHAnsi" w:hAnsiTheme="minorHAnsi" w:cstheme="minorBidi"/>
        </w:rPr>
        <w:t xml:space="preserve"> </w:t>
      </w:r>
      <w:r w:rsidR="008421E4" w:rsidRPr="006C5B85">
        <w:rPr>
          <w:rFonts w:asciiTheme="minorHAnsi" w:hAnsiTheme="minorHAnsi" w:cstheme="minorBidi"/>
        </w:rPr>
        <w:t>špecifikovan</w:t>
      </w:r>
      <w:r w:rsidR="002E1235" w:rsidRPr="006C5B85">
        <w:rPr>
          <w:rFonts w:asciiTheme="minorHAnsi" w:hAnsiTheme="minorHAnsi" w:cstheme="minorBidi"/>
        </w:rPr>
        <w:t>á</w:t>
      </w:r>
      <w:r w:rsidR="008421E4" w:rsidRPr="006C5B85">
        <w:rPr>
          <w:rFonts w:asciiTheme="minorHAnsi" w:hAnsiTheme="minorHAnsi" w:cstheme="minorBidi"/>
        </w:rPr>
        <w:t xml:space="preserve"> v</w:t>
      </w:r>
      <w:r w:rsidRPr="006C5B85">
        <w:rPr>
          <w:rFonts w:asciiTheme="minorHAnsi" w:hAnsiTheme="minorHAnsi" w:cstheme="minorBidi"/>
        </w:rPr>
        <w:t xml:space="preserve"> bodo</w:t>
      </w:r>
      <w:r w:rsidR="008421E4" w:rsidRPr="006C5B85">
        <w:rPr>
          <w:rFonts w:asciiTheme="minorHAnsi" w:hAnsiTheme="minorHAnsi" w:cstheme="minorBidi"/>
        </w:rPr>
        <w:t>ch</w:t>
      </w:r>
      <w:r w:rsidRPr="006C5B85">
        <w:rPr>
          <w:rFonts w:asciiTheme="minorHAnsi" w:hAnsiTheme="minorHAnsi" w:cstheme="minorBidi"/>
        </w:rPr>
        <w:t xml:space="preserve"> </w:t>
      </w:r>
      <w:r w:rsidR="00B31C87" w:rsidRPr="006C5B85">
        <w:rPr>
          <w:rFonts w:asciiTheme="minorHAnsi" w:hAnsiTheme="minorHAnsi" w:cstheme="minorBidi"/>
        </w:rPr>
        <w:t>1.</w:t>
      </w:r>
      <w:r w:rsidRPr="006C5B85">
        <w:rPr>
          <w:rFonts w:asciiTheme="minorHAnsi" w:hAnsiTheme="minorHAnsi" w:cstheme="minorBidi"/>
        </w:rPr>
        <w:t xml:space="preserve"> až </w:t>
      </w:r>
      <w:r w:rsidR="00F56228" w:rsidRPr="006C5B85">
        <w:rPr>
          <w:rFonts w:asciiTheme="minorHAnsi" w:hAnsiTheme="minorHAnsi" w:cstheme="minorBidi"/>
        </w:rPr>
        <w:t>7</w:t>
      </w:r>
      <w:r w:rsidR="00B31C87" w:rsidRPr="006C5B85">
        <w:rPr>
          <w:rFonts w:asciiTheme="minorHAnsi" w:hAnsiTheme="minorHAnsi" w:cstheme="minorBidi"/>
        </w:rPr>
        <w:t>.</w:t>
      </w:r>
      <w:r w:rsidR="0049693E" w:rsidRPr="006C5B85">
        <w:rPr>
          <w:rFonts w:asciiTheme="minorHAnsi" w:hAnsiTheme="minorHAnsi" w:cstheme="minorBidi"/>
        </w:rPr>
        <w:t xml:space="preserve"> tohto </w:t>
      </w:r>
      <w:bookmarkEnd w:id="6"/>
      <w:r w:rsidR="0049693E" w:rsidRPr="006C5B85">
        <w:rPr>
          <w:rFonts w:asciiTheme="minorHAnsi" w:hAnsiTheme="minorHAnsi" w:cstheme="minorBidi"/>
        </w:rPr>
        <w:t>článku</w:t>
      </w:r>
      <w:r w:rsidR="000C503D" w:rsidRPr="006C5B85">
        <w:rPr>
          <w:rFonts w:asciiTheme="minorHAnsi" w:hAnsiTheme="minorHAnsi" w:cstheme="minorBidi"/>
        </w:rPr>
        <w:t xml:space="preserve"> Zmluvy</w:t>
      </w:r>
      <w:r w:rsidRPr="006C5B85">
        <w:rPr>
          <w:rFonts w:asciiTheme="minorHAnsi" w:hAnsiTheme="minorHAnsi" w:cstheme="minorBidi"/>
        </w:rPr>
        <w:t>)</w:t>
      </w:r>
      <w:r w:rsidRPr="006C5B85">
        <w:rPr>
          <w:rFonts w:asciiTheme="minorHAnsi" w:hAnsiTheme="minorHAnsi" w:cstheme="minorBidi"/>
          <w:b/>
          <w:bCs/>
        </w:rPr>
        <w:t xml:space="preserve"> je</w:t>
      </w:r>
      <w:r w:rsidR="00545623" w:rsidRPr="006C5B85">
        <w:rPr>
          <w:rFonts w:asciiTheme="minorHAnsi" w:hAnsiTheme="minorHAnsi" w:cstheme="minorBidi"/>
          <w:b/>
          <w:bCs/>
        </w:rPr>
        <w:t xml:space="preserve"> </w:t>
      </w:r>
      <w:r w:rsidR="0090286B" w:rsidRPr="006C5B85">
        <w:rPr>
          <w:rFonts w:asciiTheme="minorHAnsi" w:hAnsiTheme="minorHAnsi" w:cstheme="minorBidi"/>
          <w:b/>
          <w:bCs/>
        </w:rPr>
        <w:t>maximálne</w:t>
      </w:r>
      <w:r w:rsidR="00236987" w:rsidRPr="006C5B85">
        <w:rPr>
          <w:rFonts w:asciiTheme="minorHAnsi" w:hAnsiTheme="minorHAnsi" w:cstheme="minorBidi"/>
          <w:b/>
          <w:bCs/>
        </w:rPr>
        <w:t xml:space="preserve"> </w:t>
      </w:r>
      <w:r w:rsidR="005A5D85" w:rsidRPr="006C5B85">
        <w:rPr>
          <w:rFonts w:asciiTheme="minorHAnsi" w:hAnsiTheme="minorHAnsi" w:cstheme="minorBidi"/>
          <w:b/>
          <w:bCs/>
        </w:rPr>
        <w:t>XXXXXXXX</w:t>
      </w:r>
      <w:r w:rsidR="00570FC6" w:rsidRPr="006C5B85">
        <w:rPr>
          <w:rFonts w:asciiTheme="minorHAnsi" w:hAnsiTheme="minorHAnsi" w:cstheme="minorBidi"/>
          <w:b/>
          <w:bCs/>
        </w:rPr>
        <w:t xml:space="preserve"> </w:t>
      </w:r>
      <w:r w:rsidR="00236987" w:rsidRPr="006C5B85">
        <w:rPr>
          <w:rFonts w:asciiTheme="minorHAnsi" w:hAnsiTheme="minorHAnsi" w:cstheme="minorBidi"/>
          <w:b/>
          <w:bCs/>
        </w:rPr>
        <w:t xml:space="preserve">Eur </w:t>
      </w:r>
      <w:r w:rsidRPr="006C5B85">
        <w:rPr>
          <w:rFonts w:asciiTheme="minorHAnsi" w:hAnsiTheme="minorHAnsi" w:cstheme="minorBidi"/>
          <w:b/>
          <w:bCs/>
        </w:rPr>
        <w:t xml:space="preserve">bez DPH, </w:t>
      </w:r>
      <w:r w:rsidR="005A5D85" w:rsidRPr="006C5B85">
        <w:rPr>
          <w:rFonts w:asciiTheme="minorHAnsi" w:hAnsiTheme="minorHAnsi" w:cstheme="minorBidi"/>
          <w:b/>
          <w:bCs/>
        </w:rPr>
        <w:t>XXXXXXX</w:t>
      </w:r>
      <w:r w:rsidR="00570FC6" w:rsidRPr="006C5B85">
        <w:rPr>
          <w:rFonts w:asciiTheme="minorHAnsi" w:hAnsiTheme="minorHAnsi" w:cstheme="minorBidi"/>
          <w:b/>
          <w:bCs/>
        </w:rPr>
        <w:t xml:space="preserve"> Eur </w:t>
      </w:r>
      <w:r w:rsidRPr="006C5B85">
        <w:rPr>
          <w:rFonts w:asciiTheme="minorHAnsi" w:hAnsiTheme="minorHAnsi" w:cstheme="minorBidi"/>
          <w:b/>
          <w:bCs/>
        </w:rPr>
        <w:t>s DPH (slovom</w:t>
      </w:r>
      <w:r w:rsidR="00236987" w:rsidRPr="006C5B85">
        <w:rPr>
          <w:rFonts w:asciiTheme="minorHAnsi" w:hAnsiTheme="minorHAnsi" w:cstheme="minorBidi"/>
          <w:b/>
          <w:bCs/>
        </w:rPr>
        <w:t xml:space="preserve"> </w:t>
      </w:r>
      <w:r w:rsidR="005A5D85" w:rsidRPr="006C5B85">
        <w:rPr>
          <w:rFonts w:asciiTheme="minorHAnsi" w:hAnsiTheme="minorHAnsi" w:cstheme="minorBidi"/>
          <w:b/>
          <w:bCs/>
        </w:rPr>
        <w:t>x</w:t>
      </w:r>
      <w:r w:rsidR="005A5D85" w:rsidRPr="5029C2BF">
        <w:rPr>
          <w:rFonts w:asciiTheme="minorHAnsi" w:hAnsiTheme="minorHAnsi" w:cstheme="minorBidi"/>
          <w:b/>
          <w:bCs/>
        </w:rPr>
        <w:t>xxxxxxxxxxxxxxxxxxxxxxxxxxxxxxxxxxxxxxxx</w:t>
      </w:r>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Exit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r w:rsidR="008E22F5" w:rsidRPr="5734C085">
        <w:rPr>
          <w:rFonts w:asciiTheme="minorHAnsi" w:hAnsiTheme="minorHAnsi" w:cstheme="minorBidi"/>
        </w:rPr>
        <w:t>Exit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ceny za poskytnutie služby Poradenstvo a rozvoj a za poskytnutie služby Exit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vrátane počtu človekohodín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pdf.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1EC62211" w:rsidR="0097404E" w:rsidRPr="006C5B85" w:rsidRDefault="0097404E" w:rsidP="657F18B6">
      <w:pPr>
        <w:pStyle w:val="Standard"/>
        <w:numPr>
          <w:ilvl w:val="0"/>
          <w:numId w:val="6"/>
        </w:numPr>
        <w:ind w:left="425" w:hanging="425"/>
        <w:jc w:val="both"/>
        <w:rPr>
          <w:rFonts w:asciiTheme="minorHAnsi" w:hAnsiTheme="minorHAnsi" w:cstheme="minorBidi"/>
          <w:sz w:val="22"/>
          <w:szCs w:val="22"/>
        </w:rPr>
      </w:pPr>
      <w:bookmarkStart w:id="7" w:name="_Hlk206417231"/>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w:t>
      </w:r>
      <w:r w:rsidRPr="006C5B85">
        <w:rPr>
          <w:rFonts w:asciiTheme="minorHAnsi" w:hAnsiTheme="minorHAnsi" w:cstheme="minorBidi"/>
          <w:sz w:val="22"/>
          <w:szCs w:val="22"/>
        </w:rPr>
        <w:t xml:space="preserve">akýkoľvek záväzok podľa </w:t>
      </w:r>
      <w:r w:rsidR="005E2479" w:rsidRPr="006C5B85">
        <w:rPr>
          <w:rFonts w:asciiTheme="minorHAnsi" w:hAnsiTheme="minorHAnsi" w:cstheme="minorBidi"/>
          <w:sz w:val="22"/>
          <w:szCs w:val="22"/>
        </w:rPr>
        <w:t xml:space="preserve">čl. </w:t>
      </w:r>
      <w:r w:rsidR="0068D1DA" w:rsidRPr="006C5B85">
        <w:rPr>
          <w:rFonts w:asciiTheme="minorHAnsi" w:hAnsiTheme="minorHAnsi" w:cstheme="minorBidi"/>
          <w:sz w:val="22"/>
          <w:szCs w:val="22"/>
        </w:rPr>
        <w:t>I</w:t>
      </w:r>
      <w:r w:rsidR="005E2479" w:rsidRPr="006C5B85">
        <w:rPr>
          <w:rFonts w:asciiTheme="minorHAnsi" w:hAnsiTheme="minorHAnsi" w:cstheme="minorBidi"/>
          <w:sz w:val="22"/>
          <w:szCs w:val="22"/>
        </w:rPr>
        <w:t>X</w:t>
      </w:r>
      <w:r w:rsidRPr="006C5B85">
        <w:rPr>
          <w:rFonts w:asciiTheme="minorHAnsi" w:hAnsiTheme="minorHAnsi" w:cstheme="minorBidi"/>
          <w:sz w:val="22"/>
          <w:szCs w:val="22"/>
        </w:rPr>
        <w:t xml:space="preserve"> týkajúci sa subdodávateľov, má Objednávateľ právo uplatniť si voči </w:t>
      </w:r>
      <w:r w:rsidR="005E2479" w:rsidRPr="006C5B85">
        <w:rPr>
          <w:rFonts w:asciiTheme="minorHAnsi" w:hAnsiTheme="minorHAnsi" w:cstheme="minorBidi"/>
          <w:sz w:val="22"/>
          <w:szCs w:val="22"/>
        </w:rPr>
        <w:t xml:space="preserve">Poskytovateľovi </w:t>
      </w:r>
      <w:r w:rsidRPr="006C5B85">
        <w:rPr>
          <w:rFonts w:asciiTheme="minorHAnsi" w:hAnsiTheme="minorHAnsi" w:cstheme="minorBidi"/>
          <w:sz w:val="22"/>
          <w:szCs w:val="22"/>
        </w:rPr>
        <w:t xml:space="preserve">zmluvnú pokutu vo výške </w:t>
      </w:r>
      <w:r w:rsidR="005E2479" w:rsidRPr="006C5B85">
        <w:rPr>
          <w:rFonts w:asciiTheme="minorHAnsi" w:hAnsiTheme="minorHAnsi" w:cstheme="minorBidi"/>
          <w:sz w:val="22"/>
          <w:szCs w:val="22"/>
        </w:rPr>
        <w:t>5 % z </w:t>
      </w:r>
      <w:r w:rsidR="00197C8D" w:rsidRPr="006C5B85">
        <w:rPr>
          <w:rFonts w:asciiTheme="minorHAnsi" w:hAnsiTheme="minorHAnsi" w:cstheme="minorBidi"/>
          <w:sz w:val="22"/>
          <w:szCs w:val="22"/>
        </w:rPr>
        <w:t>C</w:t>
      </w:r>
      <w:r w:rsidR="005E2479" w:rsidRPr="006C5B85">
        <w:rPr>
          <w:rFonts w:asciiTheme="minorHAnsi" w:hAnsiTheme="minorHAnsi" w:cstheme="minorBidi"/>
          <w:sz w:val="22"/>
          <w:szCs w:val="22"/>
        </w:rPr>
        <w:t xml:space="preserve">elkovej ceny za </w:t>
      </w:r>
      <w:r w:rsidR="0020620B" w:rsidRPr="006C5B85">
        <w:rPr>
          <w:rFonts w:asciiTheme="minorHAnsi" w:hAnsiTheme="minorHAnsi" w:cstheme="minorBidi"/>
          <w:sz w:val="22"/>
          <w:szCs w:val="22"/>
        </w:rPr>
        <w:t xml:space="preserve">plnenie </w:t>
      </w:r>
      <w:r w:rsidR="005E2479" w:rsidRPr="006C5B85">
        <w:rPr>
          <w:rFonts w:asciiTheme="minorHAnsi" w:hAnsiTheme="minorHAnsi" w:cstheme="minorBidi"/>
          <w:sz w:val="22"/>
          <w:szCs w:val="22"/>
        </w:rPr>
        <w:t>predmet</w:t>
      </w:r>
      <w:r w:rsidR="0020620B" w:rsidRPr="006C5B85">
        <w:rPr>
          <w:rFonts w:asciiTheme="minorHAnsi" w:hAnsiTheme="minorHAnsi" w:cstheme="minorBidi"/>
          <w:sz w:val="22"/>
          <w:szCs w:val="22"/>
        </w:rPr>
        <w:t>u</w:t>
      </w:r>
      <w:r w:rsidR="005E2479" w:rsidRPr="006C5B85">
        <w:rPr>
          <w:rFonts w:asciiTheme="minorHAnsi" w:hAnsiTheme="minorHAnsi" w:cstheme="minorBidi"/>
          <w:sz w:val="22"/>
          <w:szCs w:val="22"/>
        </w:rPr>
        <w:t xml:space="preserve"> Zmluvy podľa čl. IV bod </w:t>
      </w:r>
      <w:r w:rsidR="005E2479" w:rsidRPr="006C5B85">
        <w:rPr>
          <w:rFonts w:asciiTheme="minorHAnsi" w:hAnsiTheme="minorHAnsi" w:cstheme="minorBidi"/>
          <w:color w:val="C00000"/>
          <w:sz w:val="22"/>
          <w:szCs w:val="22"/>
        </w:rPr>
        <w:t>1</w:t>
      </w:r>
      <w:r w:rsidR="00F56228" w:rsidRPr="006C5B85">
        <w:rPr>
          <w:rFonts w:asciiTheme="minorHAnsi" w:hAnsiTheme="minorHAnsi" w:cstheme="minorBidi"/>
          <w:color w:val="C00000"/>
          <w:sz w:val="22"/>
          <w:szCs w:val="22"/>
        </w:rPr>
        <w:t>3</w:t>
      </w:r>
      <w:r w:rsidR="005E2479" w:rsidRPr="006C5B85">
        <w:rPr>
          <w:rFonts w:asciiTheme="minorHAnsi" w:hAnsiTheme="minorHAnsi" w:cstheme="minorBidi"/>
          <w:color w:val="C00000"/>
          <w:sz w:val="22"/>
          <w:szCs w:val="22"/>
        </w:rPr>
        <w:t xml:space="preserve"> </w:t>
      </w:r>
      <w:r w:rsidR="005E2479" w:rsidRPr="006C5B85">
        <w:rPr>
          <w:rFonts w:asciiTheme="minorHAnsi" w:hAnsiTheme="minorHAnsi" w:cstheme="minorBidi"/>
          <w:sz w:val="22"/>
          <w:szCs w:val="22"/>
        </w:rPr>
        <w:t xml:space="preserve">tejto Zmluvy </w:t>
      </w:r>
      <w:r w:rsidRPr="006C5B85">
        <w:rPr>
          <w:rFonts w:asciiTheme="minorHAnsi" w:hAnsiTheme="minorHAnsi" w:cstheme="minorBidi"/>
          <w:sz w:val="22"/>
          <w:szCs w:val="22"/>
        </w:rPr>
        <w:t>za každé jednotlivé zistenie, a to aj opakovane.</w:t>
      </w:r>
    </w:p>
    <w:bookmarkEnd w:id="7"/>
    <w:p w14:paraId="6DBE1CA3" w14:textId="56D4672C" w:rsidR="00EF0DED" w:rsidRPr="006C5B85" w:rsidRDefault="00443678" w:rsidP="657F18B6">
      <w:pPr>
        <w:pStyle w:val="Standard"/>
        <w:numPr>
          <w:ilvl w:val="0"/>
          <w:numId w:val="6"/>
        </w:numPr>
        <w:ind w:left="425" w:hanging="425"/>
        <w:jc w:val="both"/>
        <w:rPr>
          <w:rFonts w:asciiTheme="minorHAnsi" w:hAnsiTheme="minorHAnsi" w:cstheme="minorBidi"/>
          <w:sz w:val="22"/>
          <w:szCs w:val="22"/>
        </w:rPr>
      </w:pPr>
      <w:r w:rsidRPr="006C5B85">
        <w:rPr>
          <w:rFonts w:asciiTheme="minorHAnsi" w:hAnsiTheme="minorHAnsi" w:cstheme="minorBidi"/>
          <w:sz w:val="22"/>
          <w:szCs w:val="22"/>
        </w:rPr>
        <w:t xml:space="preserve">Ak Poskytovateľ nesplní povinnosť </w:t>
      </w:r>
      <w:r w:rsidR="004A189A" w:rsidRPr="006C5B85">
        <w:rPr>
          <w:rFonts w:asciiTheme="minorHAnsi" w:hAnsiTheme="minorHAnsi" w:cstheme="minorBidi"/>
          <w:sz w:val="22"/>
          <w:szCs w:val="22"/>
        </w:rPr>
        <w:t xml:space="preserve">byť riadne zapísaný v registri partnerov verejného sektora po dobu trvania tejto Zmluvy </w:t>
      </w:r>
      <w:r w:rsidRPr="006C5B85">
        <w:rPr>
          <w:rFonts w:asciiTheme="minorHAnsi" w:hAnsiTheme="minorHAnsi" w:cstheme="minorBidi"/>
          <w:sz w:val="22"/>
          <w:szCs w:val="22"/>
        </w:rPr>
        <w:t>podľa čl. X</w:t>
      </w:r>
      <w:r w:rsidR="006144D1" w:rsidRPr="006C5B85">
        <w:rPr>
          <w:rFonts w:asciiTheme="minorHAnsi" w:hAnsiTheme="minorHAnsi" w:cstheme="minorBidi"/>
          <w:sz w:val="22"/>
          <w:szCs w:val="22"/>
        </w:rPr>
        <w:t xml:space="preserve"> ods. 1</w:t>
      </w:r>
      <w:r w:rsidR="004A189A" w:rsidRPr="006C5B85">
        <w:rPr>
          <w:rFonts w:asciiTheme="minorHAnsi" w:hAnsiTheme="minorHAnsi" w:cstheme="minorBidi"/>
          <w:sz w:val="22"/>
          <w:szCs w:val="22"/>
        </w:rPr>
        <w:t xml:space="preserve"> Zmluvy</w:t>
      </w:r>
      <w:r w:rsidRPr="006C5B85">
        <w:rPr>
          <w:rFonts w:asciiTheme="minorHAnsi" w:hAnsiTheme="minorHAnsi" w:cstheme="minorBidi"/>
          <w:sz w:val="22"/>
          <w:szCs w:val="22"/>
        </w:rPr>
        <w:t xml:space="preserve"> má Objednávateľ právo uplatniť si voči Poskytovateľovi zmluvnú pokutu vo výške </w:t>
      </w:r>
      <w:r w:rsidR="00197C8D" w:rsidRPr="006C5B85">
        <w:rPr>
          <w:rFonts w:asciiTheme="minorHAnsi" w:hAnsiTheme="minorHAnsi" w:cstheme="minorBidi"/>
          <w:sz w:val="22"/>
          <w:szCs w:val="22"/>
        </w:rPr>
        <w:t>C</w:t>
      </w:r>
      <w:r w:rsidRPr="006C5B85">
        <w:rPr>
          <w:rFonts w:asciiTheme="minorHAnsi" w:hAnsiTheme="minorHAnsi" w:cstheme="minorBidi"/>
          <w:sz w:val="22"/>
          <w:szCs w:val="22"/>
        </w:rPr>
        <w:t xml:space="preserve">elkovej ceny za </w:t>
      </w:r>
      <w:r w:rsidR="0020620B" w:rsidRPr="006C5B85">
        <w:rPr>
          <w:rFonts w:asciiTheme="minorHAnsi" w:hAnsiTheme="minorHAnsi" w:cstheme="minorBidi"/>
          <w:sz w:val="22"/>
          <w:szCs w:val="22"/>
        </w:rPr>
        <w:t xml:space="preserve">plnenie </w:t>
      </w:r>
      <w:r w:rsidRPr="006C5B85">
        <w:rPr>
          <w:rFonts w:asciiTheme="minorHAnsi" w:hAnsiTheme="minorHAnsi" w:cstheme="minorBidi"/>
          <w:sz w:val="22"/>
          <w:szCs w:val="22"/>
        </w:rPr>
        <w:t>predmet</w:t>
      </w:r>
      <w:r w:rsidR="0020620B" w:rsidRPr="006C5B85">
        <w:rPr>
          <w:rFonts w:asciiTheme="minorHAnsi" w:hAnsiTheme="minorHAnsi" w:cstheme="minorBidi"/>
          <w:sz w:val="22"/>
          <w:szCs w:val="22"/>
        </w:rPr>
        <w:t>u</w:t>
      </w:r>
      <w:r w:rsidRPr="006C5B85">
        <w:rPr>
          <w:rFonts w:asciiTheme="minorHAnsi" w:hAnsiTheme="minorHAnsi" w:cstheme="minorBidi"/>
          <w:sz w:val="22"/>
          <w:szCs w:val="22"/>
        </w:rPr>
        <w:t xml:space="preserve"> Zmluvy podľa čl. IV bod 1</w:t>
      </w:r>
      <w:r w:rsidR="00550DB1" w:rsidRPr="006C5B85">
        <w:rPr>
          <w:rFonts w:asciiTheme="minorHAnsi" w:hAnsiTheme="minorHAnsi" w:cstheme="minorBidi"/>
          <w:sz w:val="22"/>
          <w:szCs w:val="22"/>
        </w:rPr>
        <w:t>2</w:t>
      </w:r>
      <w:r w:rsidRPr="006C5B85">
        <w:rPr>
          <w:rFonts w:asciiTheme="minorHAnsi" w:hAnsiTheme="minorHAnsi" w:cstheme="minorBidi"/>
          <w:sz w:val="22"/>
          <w:szCs w:val="22"/>
        </w:rPr>
        <w:t xml:space="preserve"> tejto Zmluvy.</w:t>
      </w:r>
    </w:p>
    <w:p w14:paraId="76A7F04A" w14:textId="1654EA79" w:rsidR="00EF0DED" w:rsidRPr="006C5B85" w:rsidRDefault="00EF0DED" w:rsidP="657F18B6">
      <w:pPr>
        <w:pStyle w:val="Standard"/>
        <w:numPr>
          <w:ilvl w:val="0"/>
          <w:numId w:val="6"/>
        </w:numPr>
        <w:ind w:left="425" w:hanging="425"/>
        <w:jc w:val="both"/>
        <w:rPr>
          <w:rFonts w:asciiTheme="minorHAnsi" w:hAnsiTheme="minorHAnsi" w:cstheme="minorBidi"/>
          <w:sz w:val="22"/>
          <w:szCs w:val="22"/>
        </w:rPr>
      </w:pPr>
      <w:bookmarkStart w:id="8" w:name="_Hlk206417240"/>
      <w:r w:rsidRPr="006C5B85">
        <w:rPr>
          <w:rFonts w:asciiTheme="minorHAnsi" w:eastAsia="Times New Roman" w:hAnsiTheme="minorHAnsi" w:cstheme="minorBidi"/>
          <w:noProof/>
          <w:sz w:val="22"/>
          <w:szCs w:val="22"/>
          <w:lang w:eastAsia="sk-SK"/>
        </w:rPr>
        <w:t xml:space="preserve">V prípade, </w:t>
      </w:r>
      <w:r w:rsidR="00D10A3F" w:rsidRPr="006C5B85">
        <w:rPr>
          <w:rFonts w:asciiTheme="minorHAnsi" w:eastAsia="Times New Roman" w:hAnsiTheme="minorHAnsi" w:cstheme="minorBidi"/>
          <w:noProof/>
          <w:sz w:val="22"/>
          <w:szCs w:val="22"/>
          <w:lang w:eastAsia="sk-SK"/>
        </w:rPr>
        <w:t>ak</w:t>
      </w:r>
      <w:r w:rsidRPr="006C5B85">
        <w:rPr>
          <w:rFonts w:asciiTheme="minorHAnsi" w:eastAsia="Times New Roman" w:hAnsiTheme="minorHAnsi" w:cstheme="minorBidi"/>
          <w:noProof/>
          <w:sz w:val="22"/>
          <w:szCs w:val="22"/>
          <w:lang w:eastAsia="sk-SK"/>
        </w:rPr>
        <w:t xml:space="preserve"> </w:t>
      </w:r>
      <w:r w:rsidRPr="006C5B85">
        <w:rPr>
          <w:rFonts w:asciiTheme="minorHAnsi" w:hAnsiTheme="minorHAnsi" w:cstheme="minorBidi"/>
          <w:noProof/>
          <w:sz w:val="22"/>
          <w:szCs w:val="22"/>
          <w:lang w:eastAsia="sk-SK"/>
        </w:rPr>
        <w:t>Objednávateľ</w:t>
      </w:r>
      <w:r w:rsidR="00D10A3F" w:rsidRPr="006C5B85">
        <w:rPr>
          <w:rFonts w:asciiTheme="minorHAnsi" w:hAnsiTheme="minorHAnsi" w:cstheme="minorBidi"/>
          <w:noProof/>
          <w:sz w:val="22"/>
          <w:szCs w:val="22"/>
          <w:lang w:eastAsia="sk-SK"/>
        </w:rPr>
        <w:t xml:space="preserve">ovi vznikne právo </w:t>
      </w:r>
      <w:r w:rsidR="006F5969" w:rsidRPr="006C5B85">
        <w:rPr>
          <w:rFonts w:asciiTheme="minorHAnsi" w:hAnsiTheme="minorHAnsi" w:cstheme="minorBidi"/>
          <w:noProof/>
          <w:sz w:val="22"/>
          <w:szCs w:val="22"/>
          <w:lang w:eastAsia="sk-SK"/>
        </w:rPr>
        <w:t xml:space="preserve">odstúpiť od Zmluvy v zmysle § 15 ods. </w:t>
      </w:r>
      <w:r w:rsidR="00B9510F" w:rsidRPr="006C5B85">
        <w:rPr>
          <w:rFonts w:asciiTheme="minorHAnsi" w:hAnsiTheme="minorHAnsi" w:cstheme="minorBidi"/>
          <w:noProof/>
          <w:sz w:val="22"/>
          <w:szCs w:val="22"/>
          <w:lang w:eastAsia="sk-SK"/>
        </w:rPr>
        <w:t>1</w:t>
      </w:r>
      <w:r w:rsidR="006F5969" w:rsidRPr="006C5B85">
        <w:rPr>
          <w:rFonts w:asciiTheme="minorHAnsi" w:hAnsiTheme="minorHAnsi" w:cstheme="minorBidi"/>
          <w:noProof/>
          <w:sz w:val="22"/>
          <w:szCs w:val="22"/>
          <w:lang w:eastAsia="sk-SK"/>
        </w:rPr>
        <w:t xml:space="preserve"> </w:t>
      </w:r>
      <w:r w:rsidR="006F5969" w:rsidRPr="006C5B85">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006C5B85">
        <w:rPr>
          <w:rFonts w:asciiTheme="minorHAnsi" w:hAnsiTheme="minorHAnsi" w:cstheme="minorBidi"/>
          <w:b/>
          <w:bCs/>
          <w:sz w:val="22"/>
          <w:szCs w:val="22"/>
        </w:rPr>
        <w:t>Zákon o RPVS</w:t>
      </w:r>
      <w:r w:rsidR="006F5969" w:rsidRPr="006C5B85">
        <w:rPr>
          <w:rFonts w:asciiTheme="minorHAnsi" w:hAnsiTheme="minorHAnsi" w:cstheme="minorBidi"/>
          <w:sz w:val="22"/>
          <w:szCs w:val="22"/>
        </w:rPr>
        <w:t>“) a Objednávateľ toto právo</w:t>
      </w:r>
      <w:r w:rsidRPr="006C5B85">
        <w:rPr>
          <w:rFonts w:asciiTheme="minorHAnsi" w:hAnsiTheme="minorHAnsi" w:cstheme="minorBidi"/>
          <w:noProof/>
          <w:sz w:val="22"/>
          <w:szCs w:val="22"/>
          <w:lang w:eastAsia="sk-SK"/>
        </w:rPr>
        <w:t xml:space="preserve"> nevyužije, má právo </w:t>
      </w:r>
      <w:r w:rsidR="00877D91" w:rsidRPr="006C5B85">
        <w:rPr>
          <w:rFonts w:asciiTheme="minorHAnsi" w:hAnsiTheme="minorHAnsi" w:cstheme="minorBidi"/>
          <w:noProof/>
          <w:sz w:val="22"/>
          <w:szCs w:val="22"/>
          <w:lang w:eastAsia="sk-SK"/>
        </w:rPr>
        <w:t>uplatniť si voči Poskytovateľovi</w:t>
      </w:r>
      <w:r w:rsidRPr="006C5B85">
        <w:rPr>
          <w:rFonts w:asciiTheme="minorHAnsi" w:hAnsiTheme="minorHAnsi" w:cstheme="minorBidi"/>
          <w:noProof/>
          <w:sz w:val="22"/>
          <w:szCs w:val="22"/>
          <w:lang w:eastAsia="sk-SK"/>
        </w:rPr>
        <w:t xml:space="preserve"> zmluvn</w:t>
      </w:r>
      <w:r w:rsidR="00877D91" w:rsidRPr="006C5B85">
        <w:rPr>
          <w:rFonts w:asciiTheme="minorHAnsi" w:hAnsiTheme="minorHAnsi" w:cstheme="minorBidi"/>
          <w:noProof/>
          <w:sz w:val="22"/>
          <w:szCs w:val="22"/>
          <w:lang w:eastAsia="sk-SK"/>
        </w:rPr>
        <w:t>ú</w:t>
      </w:r>
      <w:r w:rsidRPr="006C5B85">
        <w:rPr>
          <w:rFonts w:asciiTheme="minorHAnsi" w:hAnsiTheme="minorHAnsi" w:cstheme="minorBidi"/>
          <w:noProof/>
          <w:sz w:val="22"/>
          <w:szCs w:val="22"/>
          <w:lang w:eastAsia="sk-SK"/>
        </w:rPr>
        <w:t xml:space="preserve"> pokut</w:t>
      </w:r>
      <w:r w:rsidR="00877D91" w:rsidRPr="006C5B85">
        <w:rPr>
          <w:rFonts w:asciiTheme="minorHAnsi" w:hAnsiTheme="minorHAnsi" w:cstheme="minorBidi"/>
          <w:noProof/>
          <w:sz w:val="22"/>
          <w:szCs w:val="22"/>
          <w:lang w:eastAsia="sk-SK"/>
        </w:rPr>
        <w:t>u</w:t>
      </w:r>
      <w:r w:rsidRPr="006C5B85">
        <w:rPr>
          <w:rFonts w:asciiTheme="minorHAnsi" w:hAnsiTheme="minorHAnsi" w:cstheme="minorBidi"/>
          <w:noProof/>
          <w:sz w:val="22"/>
          <w:szCs w:val="22"/>
          <w:lang w:eastAsia="sk-SK"/>
        </w:rPr>
        <w:t xml:space="preserve"> vo výške 20</w:t>
      </w:r>
      <w:r w:rsidR="008F02D5" w:rsidRPr="006C5B85">
        <w:rPr>
          <w:rFonts w:asciiTheme="minorHAnsi" w:hAnsiTheme="minorHAnsi" w:cstheme="minorBidi"/>
          <w:noProof/>
          <w:sz w:val="22"/>
          <w:szCs w:val="22"/>
          <w:lang w:eastAsia="sk-SK"/>
        </w:rPr>
        <w:t xml:space="preserve"> </w:t>
      </w:r>
      <w:r w:rsidRPr="006C5B85">
        <w:rPr>
          <w:rFonts w:asciiTheme="minorHAnsi" w:hAnsiTheme="minorHAnsi" w:cstheme="minorBidi"/>
          <w:noProof/>
          <w:sz w:val="22"/>
          <w:szCs w:val="22"/>
          <w:lang w:eastAsia="sk-SK"/>
        </w:rPr>
        <w:t xml:space="preserve">% </w:t>
      </w:r>
      <w:r w:rsidR="006F00DD" w:rsidRPr="006C5B85">
        <w:rPr>
          <w:rFonts w:asciiTheme="minorHAnsi" w:hAnsiTheme="minorHAnsi" w:cstheme="minorBidi"/>
          <w:sz w:val="22"/>
          <w:szCs w:val="22"/>
        </w:rPr>
        <w:t>z </w:t>
      </w:r>
      <w:r w:rsidR="00197C8D" w:rsidRPr="006C5B85">
        <w:rPr>
          <w:rFonts w:asciiTheme="minorHAnsi" w:hAnsiTheme="minorHAnsi" w:cstheme="minorBidi"/>
          <w:sz w:val="22"/>
          <w:szCs w:val="22"/>
        </w:rPr>
        <w:t>C</w:t>
      </w:r>
      <w:r w:rsidR="006F00DD" w:rsidRPr="006C5B85">
        <w:rPr>
          <w:rFonts w:asciiTheme="minorHAnsi" w:hAnsiTheme="minorHAnsi" w:cstheme="minorBidi"/>
          <w:sz w:val="22"/>
          <w:szCs w:val="22"/>
        </w:rPr>
        <w:t xml:space="preserve">elkovej ceny za plnenie predmetu Zmluvy podľa čl. IV bod </w:t>
      </w:r>
      <w:r w:rsidR="006F00DD" w:rsidRPr="006C5B85">
        <w:rPr>
          <w:rFonts w:asciiTheme="minorHAnsi" w:hAnsiTheme="minorHAnsi" w:cstheme="minorBidi"/>
          <w:color w:val="C00000"/>
          <w:sz w:val="22"/>
          <w:szCs w:val="22"/>
        </w:rPr>
        <w:t>1</w:t>
      </w:r>
      <w:r w:rsidR="00F56228" w:rsidRPr="006C5B85">
        <w:rPr>
          <w:rFonts w:asciiTheme="minorHAnsi" w:hAnsiTheme="minorHAnsi" w:cstheme="minorBidi"/>
          <w:color w:val="C00000"/>
          <w:sz w:val="22"/>
          <w:szCs w:val="22"/>
        </w:rPr>
        <w:t>3</w:t>
      </w:r>
      <w:r w:rsidR="006F00DD" w:rsidRPr="006C5B85">
        <w:rPr>
          <w:rFonts w:asciiTheme="minorHAnsi" w:hAnsiTheme="minorHAnsi" w:cstheme="minorBidi"/>
          <w:sz w:val="22"/>
          <w:szCs w:val="22"/>
        </w:rPr>
        <w:t xml:space="preserve"> tejto Zmluvy</w:t>
      </w:r>
      <w:r w:rsidRPr="006C5B85">
        <w:rPr>
          <w:rFonts w:asciiTheme="minorHAnsi" w:hAnsiTheme="minorHAnsi" w:cstheme="minorBidi"/>
          <w:sz w:val="22"/>
          <w:szCs w:val="22"/>
        </w:rPr>
        <w:t>.</w:t>
      </w:r>
    </w:p>
    <w:bookmarkEnd w:id="8"/>
    <w:p w14:paraId="306EAEA3" w14:textId="77777777" w:rsidR="00BE41A4" w:rsidRPr="00102A78" w:rsidRDefault="00BE41A4" w:rsidP="00BE41A4">
      <w:pPr>
        <w:pStyle w:val="Standard"/>
        <w:numPr>
          <w:ilvl w:val="0"/>
          <w:numId w:val="6"/>
        </w:numPr>
        <w:ind w:left="425" w:hanging="425"/>
        <w:jc w:val="both"/>
        <w:rPr>
          <w:rFonts w:asciiTheme="minorHAnsi" w:hAnsiTheme="minorHAnsi" w:cstheme="minorHAnsi"/>
        </w:rPr>
      </w:pPr>
      <w:r w:rsidRPr="00610168">
        <w:rPr>
          <w:rFonts w:asciiTheme="minorHAnsi" w:hAnsiTheme="minorHAnsi" w:cstheme="minorHAnsi"/>
          <w:sz w:val="22"/>
          <w:szCs w:val="22"/>
        </w:rPr>
        <w:t>Ak Poskytovateľ poruší ktorúkoľvek z povinností podľa bodu 17 až 27 Článku VII Zmluvy</w:t>
      </w:r>
      <w:r>
        <w:rPr>
          <w:rFonts w:asciiTheme="minorHAnsi" w:hAnsiTheme="minorHAnsi" w:cstheme="minorHAnsi"/>
          <w:sz w:val="22"/>
          <w:szCs w:val="22"/>
        </w:rPr>
        <w:t>:</w:t>
      </w:r>
    </w:p>
    <w:p w14:paraId="212E77F6" w14:textId="77777777" w:rsidR="00BE41A4" w:rsidRPr="00102A78" w:rsidRDefault="00BE41A4" w:rsidP="00BE41A4">
      <w:pPr>
        <w:pStyle w:val="Standard"/>
        <w:numPr>
          <w:ilvl w:val="4"/>
          <w:numId w:val="13"/>
        </w:numPr>
        <w:ind w:left="709" w:hanging="283"/>
        <w:jc w:val="both"/>
        <w:rPr>
          <w:rFonts w:asciiTheme="minorHAnsi" w:hAnsiTheme="minorHAnsi" w:cstheme="minorHAnsi"/>
        </w:rPr>
      </w:pPr>
      <w:r>
        <w:rPr>
          <w:rFonts w:asciiTheme="minorHAnsi" w:hAnsiTheme="minorHAnsi" w:cstheme="minorHAnsi"/>
          <w:sz w:val="22"/>
          <w:szCs w:val="22"/>
        </w:rPr>
        <w:t xml:space="preserve">má Objednávateľ právo uplatniť si voči </w:t>
      </w:r>
      <w:r w:rsidRPr="00610168">
        <w:rPr>
          <w:rFonts w:asciiTheme="minorHAnsi" w:hAnsiTheme="minorHAnsi" w:cstheme="minorHAnsi"/>
          <w:sz w:val="22"/>
          <w:szCs w:val="22"/>
        </w:rPr>
        <w:t>Poskytovateľ</w:t>
      </w:r>
      <w:r>
        <w:rPr>
          <w:rFonts w:asciiTheme="minorHAnsi" w:hAnsiTheme="minorHAnsi" w:cstheme="minorHAnsi"/>
          <w:sz w:val="22"/>
          <w:szCs w:val="22"/>
        </w:rPr>
        <w:t>ovi</w:t>
      </w:r>
      <w:r w:rsidRPr="00610168">
        <w:rPr>
          <w:rFonts w:asciiTheme="minorHAnsi" w:hAnsiTheme="minorHAnsi" w:cstheme="minorHAnsi"/>
          <w:sz w:val="22"/>
          <w:szCs w:val="22"/>
        </w:rPr>
        <w:t xml:space="preserve"> zmluvnú pokutu vo výške 10.000 €</w:t>
      </w:r>
      <w:r>
        <w:rPr>
          <w:rFonts w:asciiTheme="minorHAnsi" w:hAnsiTheme="minorHAnsi" w:cstheme="minorHAnsi"/>
          <w:sz w:val="22"/>
          <w:szCs w:val="22"/>
        </w:rPr>
        <w:t xml:space="preserve"> (slovom: desaťtisíc eur)</w:t>
      </w:r>
      <w:r w:rsidRPr="00610168">
        <w:rPr>
          <w:rFonts w:asciiTheme="minorHAnsi" w:hAnsiTheme="minorHAnsi" w:cstheme="minorHAnsi"/>
          <w:sz w:val="22"/>
          <w:szCs w:val="22"/>
        </w:rPr>
        <w:t xml:space="preserve"> za každé jednotlivé porušenie povinnosti; a</w:t>
      </w:r>
    </w:p>
    <w:p w14:paraId="7142017C" w14:textId="0AC1AA9D" w:rsidR="00BE41A4" w:rsidRPr="0048754D" w:rsidRDefault="00BE41A4" w:rsidP="0048754D">
      <w:pPr>
        <w:pStyle w:val="Standard"/>
        <w:numPr>
          <w:ilvl w:val="4"/>
          <w:numId w:val="13"/>
        </w:numPr>
        <w:ind w:left="426" w:firstLine="0"/>
        <w:jc w:val="both"/>
        <w:rPr>
          <w:rFonts w:asciiTheme="minorHAnsi" w:hAnsiTheme="minorHAnsi" w:cstheme="minorHAnsi"/>
        </w:rPr>
      </w:pPr>
      <w:r w:rsidRPr="000A5778">
        <w:rPr>
          <w:rFonts w:asciiTheme="minorHAnsi" w:hAnsiTheme="minorHAnsi" w:cstheme="minorHAnsi"/>
          <w:sz w:val="22"/>
          <w:szCs w:val="22"/>
        </w:rPr>
        <w:t>Objednávateľ je oprávnený od Zmluvy odstúpiť</w:t>
      </w:r>
      <w:r>
        <w:rPr>
          <w:rFonts w:asciiTheme="minorHAnsi" w:hAnsiTheme="minorHAnsi" w:cstheme="minorHAnsi"/>
          <w:sz w:val="22"/>
          <w:szCs w:val="22"/>
        </w:rPr>
        <w:t>.</w:t>
      </w:r>
    </w:p>
    <w:p w14:paraId="63D768E0" w14:textId="4BC054C4"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 xml:space="preserve">prípadov uvedených v bodoch 1 až </w:t>
      </w:r>
      <w:r w:rsidR="00BE41A4">
        <w:rPr>
          <w:rFonts w:asciiTheme="minorHAnsi" w:hAnsiTheme="minorHAnsi" w:cstheme="minorHAnsi"/>
          <w:sz w:val="22"/>
          <w:szCs w:val="22"/>
        </w:rPr>
        <w:t xml:space="preserve">5 </w:t>
      </w:r>
      <w:r w:rsidR="00930C5D">
        <w:rPr>
          <w:rFonts w:asciiTheme="minorHAnsi" w:hAnsiTheme="minorHAnsi" w:cstheme="minorHAnsi"/>
          <w:sz w:val="22"/>
          <w:szCs w:val="22"/>
        </w:rPr>
        <w:t>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r w:rsidR="00BE41A4">
        <w:rPr>
          <w:rFonts w:asciiTheme="minorHAnsi" w:hAnsiTheme="minorHAnsi" w:cstheme="minorHAnsi"/>
          <w:sz w:val="22"/>
          <w:szCs w:val="22"/>
        </w:rPr>
        <w:t>.</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48754D"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0A5778" w:rsidRDefault="00F47541" w:rsidP="0048754D">
      <w:pPr>
        <w:pStyle w:val="Standard"/>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r w:rsidR="0013094F" w:rsidRPr="0096657D">
        <w:rPr>
          <w:rFonts w:asciiTheme="minorHAnsi" w:hAnsiTheme="minorHAnsi" w:cstheme="minorHAnsi"/>
          <w:bCs/>
        </w:rPr>
        <w:t>Preexistentného obchodne dostupného softvéru, Preexistentného obchodne nedostupného softvéru alebo Preexistentného open source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dodaním zdrojových kódov a/alebo riešenia na báze open source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„vendor locking“</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r w:rsidR="001E2F4B" w:rsidRPr="0013094F">
        <w:rPr>
          <w:rFonts w:asciiTheme="minorHAnsi" w:hAnsiTheme="minorHAnsi" w:cstheme="minorHAnsi"/>
          <w:bCs/>
        </w:rPr>
        <w:t>Preexistentné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r w:rsidR="001E2F4B">
        <w:rPr>
          <w:rFonts w:asciiTheme="minorHAnsi" w:hAnsiTheme="minorHAnsi" w:cstheme="minorHAnsi"/>
          <w:bCs/>
        </w:rPr>
        <w:t>Preexistentné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č. 95/2019 Z.z.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Z.z</w:t>
      </w:r>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(disclaimer)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505FD147" w:rsidR="00BF3B55" w:rsidRPr="0034263F" w:rsidRDefault="00BF3B55" w:rsidP="76E048CB">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zákonom č. 69/2018 Z.z.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tície a informatizáciu č. 179/2020 Z.z.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E8548F" w:rsidRPr="0034263F">
        <w:rPr>
          <w:rFonts w:asciiTheme="minorHAnsi" w:hAnsiTheme="minorHAnsi" w:cstheme="minorHAnsi"/>
        </w:rPr>
        <w:t>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r w:rsidR="006871D1" w:rsidRPr="0034263F">
        <w:rPr>
          <w:rFonts w:asciiTheme="minorHAnsi" w:hAnsiTheme="minorHAnsi" w:cstheme="minorHAnsi"/>
        </w:rPr>
        <w:t>.</w:t>
      </w:r>
      <w:r w:rsidR="0034263F" w:rsidRPr="0034263F">
        <w:rPr>
          <w:rFonts w:asciiTheme="minorHAnsi" w:hAnsiTheme="minorHAnsi" w:cstheme="minorHAnsi"/>
        </w:rPr>
        <w:t xml:space="preserve"> </w:t>
      </w:r>
      <w:r w:rsidR="0034263F" w:rsidRPr="00AE3441">
        <w:rPr>
          <w:rFonts w:asciiTheme="minorHAnsi" w:hAnsiTheme="minorHAnsi" w:cstheme="minorHAnsi"/>
        </w:rPr>
        <w:t>Poskytovateľ poskytne najneskôr do 30 dní</w:t>
      </w:r>
      <w:r w:rsidR="00FF1CCA">
        <w:rPr>
          <w:rFonts w:asciiTheme="minorHAnsi" w:hAnsiTheme="minorHAnsi" w:cstheme="minorHAnsi"/>
        </w:rPr>
        <w:t xml:space="preserve"> od </w:t>
      </w:r>
      <w:r w:rsidR="008D42FF">
        <w:rPr>
          <w:rFonts w:asciiTheme="minorHAnsi" w:hAnsiTheme="minorHAnsi" w:cstheme="minorHAnsi"/>
        </w:rPr>
        <w:t>účinnosti Zmluvy</w:t>
      </w:r>
      <w:r w:rsidR="0034263F" w:rsidRPr="00AE3441">
        <w:rPr>
          <w:rFonts w:asciiTheme="minorHAnsi" w:hAnsiTheme="minorHAnsi" w:cstheme="minorHAnsi"/>
        </w:rPr>
        <w:t xml:space="preserve"> Objednávateľovi menný zoznam </w:t>
      </w:r>
      <w:r w:rsidR="00512907">
        <w:rPr>
          <w:rFonts w:asciiTheme="minorHAnsi" w:hAnsiTheme="minorHAnsi" w:cstheme="minorHAnsi"/>
        </w:rPr>
        <w:t>subjektov</w:t>
      </w:r>
      <w:r w:rsidR="0034263F" w:rsidRPr="00AE3441">
        <w:rPr>
          <w:rFonts w:asciiTheme="minorHAnsi" w:hAnsiTheme="minorHAnsi" w:cstheme="minorHAnsi"/>
        </w:rPr>
        <w:t>, ktor</w:t>
      </w:r>
      <w:r w:rsidR="00E01957">
        <w:rPr>
          <w:rFonts w:asciiTheme="minorHAnsi" w:hAnsiTheme="minorHAnsi" w:cstheme="minorHAnsi"/>
        </w:rPr>
        <w:t>é</w:t>
      </w:r>
      <w:r w:rsidR="0034263F" w:rsidRPr="00AE3441">
        <w:rPr>
          <w:rFonts w:asciiTheme="minorHAnsi" w:hAnsiTheme="minorHAnsi" w:cstheme="minorHAnsi"/>
        </w:rPr>
        <w:t xml:space="preserve"> budú </w:t>
      </w:r>
      <w:r w:rsidR="00512907">
        <w:rPr>
          <w:rFonts w:asciiTheme="minorHAnsi" w:hAnsiTheme="minorHAnsi" w:cstheme="minorHAnsi"/>
        </w:rPr>
        <w:t xml:space="preserve">v mene Poskytovateľa realizovať </w:t>
      </w:r>
      <w:r w:rsidR="004B532D">
        <w:rPr>
          <w:rFonts w:asciiTheme="minorHAnsi" w:hAnsiTheme="minorHAnsi" w:cstheme="minorHAnsi"/>
        </w:rPr>
        <w:t>D</w:t>
      </w:r>
      <w:r w:rsidR="00512907">
        <w:rPr>
          <w:rFonts w:asciiTheme="minorHAnsi" w:hAnsiTheme="minorHAnsi" w:cstheme="minorHAnsi"/>
        </w:rPr>
        <w:t>ielo</w:t>
      </w:r>
      <w:r w:rsidR="0034263F" w:rsidRPr="00AE3441">
        <w:rPr>
          <w:rFonts w:asciiTheme="minorHAnsi" w:hAnsiTheme="minorHAnsi" w:cstheme="minorHAnsi"/>
        </w:rPr>
        <w:t xml:space="preserve">. </w:t>
      </w:r>
      <w:r w:rsidR="00512907">
        <w:rPr>
          <w:rFonts w:asciiTheme="minorHAnsi" w:hAnsiTheme="minorHAnsi" w:cstheme="minorHAnsi"/>
        </w:rPr>
        <w:t>Z</w:t>
      </w:r>
      <w:r w:rsidR="0034263F" w:rsidRPr="00AE3441">
        <w:rPr>
          <w:rFonts w:asciiTheme="minorHAnsi" w:hAnsiTheme="minorHAnsi" w:cstheme="minorHAnsi"/>
        </w:rPr>
        <w:t>oznam</w:t>
      </w:r>
      <w:r w:rsidR="00512907">
        <w:rPr>
          <w:rFonts w:asciiTheme="minorHAnsi" w:hAnsiTheme="minorHAnsi" w:cstheme="minorHAnsi"/>
        </w:rPr>
        <w:t xml:space="preserve"> subjektov predstavuje prílohu č. </w:t>
      </w:r>
      <w:r w:rsidR="00035E20">
        <w:rPr>
          <w:rFonts w:asciiTheme="minorHAnsi" w:hAnsiTheme="minorHAnsi" w:cstheme="minorHAnsi"/>
        </w:rPr>
        <w:t>8 Zmluvy</w:t>
      </w:r>
      <w:r w:rsidR="0034263F" w:rsidRPr="00AE3441">
        <w:rPr>
          <w:rFonts w:asciiTheme="minorHAnsi" w:hAnsiTheme="minorHAnsi" w:cstheme="minorHAnsi"/>
        </w:rPr>
        <w:t xml:space="preserve"> </w:t>
      </w:r>
      <w:r w:rsidR="00035E20">
        <w:rPr>
          <w:rFonts w:asciiTheme="minorHAnsi" w:hAnsiTheme="minorHAnsi" w:cstheme="minorHAnsi"/>
        </w:rPr>
        <w:t xml:space="preserve">a je jej </w:t>
      </w:r>
      <w:r w:rsidR="0034263F" w:rsidRPr="00AE3441">
        <w:rPr>
          <w:rFonts w:asciiTheme="minorHAnsi" w:hAnsiTheme="minorHAnsi" w:cstheme="minorHAnsi"/>
        </w:rPr>
        <w:t>neoddeliteľnou súčasťou</w:t>
      </w:r>
      <w:r w:rsidR="005E7E39">
        <w:rPr>
          <w:rFonts w:asciiTheme="minorHAnsi" w:hAnsiTheme="minorHAnsi" w:cstheme="minorHAnsi"/>
        </w:rPr>
        <w:t>.</w:t>
      </w:r>
      <w:r w:rsidR="0034263F" w:rsidRPr="00AE3441">
        <w:rPr>
          <w:rFonts w:asciiTheme="minorHAnsi" w:hAnsiTheme="minorHAnsi" w:cstheme="minorHAnsi"/>
        </w:rPr>
        <w:t xml:space="preserve">  Každému </w:t>
      </w:r>
      <w:r w:rsidR="00BE5079">
        <w:rPr>
          <w:rFonts w:asciiTheme="minorHAnsi" w:hAnsiTheme="minorHAnsi" w:cstheme="minorHAnsi"/>
        </w:rPr>
        <w:t>zo subjektov</w:t>
      </w:r>
      <w:r w:rsidR="0054523A">
        <w:rPr>
          <w:rFonts w:asciiTheme="minorHAnsi" w:hAnsiTheme="minorHAnsi" w:cstheme="minorHAnsi"/>
        </w:rPr>
        <w:t xml:space="preserve"> zúčastňujúcich sa na realizácii</w:t>
      </w:r>
      <w:r w:rsidR="004B532D">
        <w:rPr>
          <w:rFonts w:asciiTheme="minorHAnsi" w:hAnsiTheme="minorHAnsi" w:cstheme="minorHAnsi"/>
        </w:rPr>
        <w:t xml:space="preserve"> Diela</w:t>
      </w:r>
      <w:r w:rsidR="0034263F" w:rsidRPr="00AE3441">
        <w:rPr>
          <w:rFonts w:asciiTheme="minorHAnsi" w:hAnsiTheme="minorHAnsi" w:cstheme="minorHAnsi"/>
        </w:rPr>
        <w:t xml:space="preserve"> bude</w:t>
      </w:r>
      <w:r w:rsidR="00ED6FD3">
        <w:rPr>
          <w:rFonts w:asciiTheme="minorHAnsi" w:hAnsiTheme="minorHAnsi" w:cstheme="minorHAnsi"/>
        </w:rPr>
        <w:t xml:space="preserve"> </w:t>
      </w:r>
      <w:r w:rsidR="008D42FF">
        <w:rPr>
          <w:rFonts w:asciiTheme="minorHAnsi" w:hAnsiTheme="minorHAnsi" w:cstheme="minorHAnsi"/>
        </w:rPr>
        <w:t>Objednávateľom</w:t>
      </w:r>
      <w:r w:rsidR="0034263F" w:rsidRPr="00AE3441">
        <w:rPr>
          <w:rFonts w:asciiTheme="minorHAnsi" w:hAnsiTheme="minorHAnsi" w:cstheme="minorHAnsi"/>
        </w:rPr>
        <w:t xml:space="preserve"> pridelený jednoznačný identifikátor, ktorý bude používať na prístup do vládneho clo</w:t>
      </w:r>
      <w:r w:rsidR="0034263F">
        <w:rPr>
          <w:rFonts w:asciiTheme="minorHAnsi" w:hAnsiTheme="minorHAnsi" w:cstheme="minorHAnsi"/>
        </w:rPr>
        <w:t>u</w:t>
      </w:r>
      <w:r w:rsidR="0034263F" w:rsidRPr="00AE3441">
        <w:rPr>
          <w:rFonts w:asciiTheme="minorHAnsi" w:hAnsiTheme="minorHAnsi" w:cstheme="minorHAnsi"/>
        </w:rPr>
        <w:t xml:space="preserve">du, </w:t>
      </w:r>
      <w:r w:rsidR="0034263F">
        <w:rPr>
          <w:rFonts w:asciiTheme="minorHAnsi" w:hAnsiTheme="minorHAnsi" w:cstheme="minorHAnsi"/>
        </w:rPr>
        <w:t>v</w:t>
      </w:r>
      <w:r w:rsidR="0034263F" w:rsidRPr="00AE3441">
        <w:rPr>
          <w:rFonts w:asciiTheme="minorHAnsi" w:hAnsiTheme="minorHAnsi" w:cstheme="minorHAnsi"/>
        </w:rPr>
        <w:t>irtualizačn</w:t>
      </w:r>
      <w:r w:rsidR="0034263F">
        <w:rPr>
          <w:rFonts w:asciiTheme="minorHAnsi" w:hAnsiTheme="minorHAnsi" w:cstheme="minorHAnsi"/>
        </w:rPr>
        <w:t>ej</w:t>
      </w:r>
      <w:r w:rsidR="0034263F" w:rsidRPr="00AE3441">
        <w:rPr>
          <w:rFonts w:asciiTheme="minorHAnsi" w:hAnsiTheme="minorHAnsi" w:cstheme="minorHAnsi"/>
        </w:rPr>
        <w:t xml:space="preserve"> platformy a samotnej aplikácie. Zároveň každý </w:t>
      </w:r>
      <w:r w:rsidR="004B532D">
        <w:rPr>
          <w:rFonts w:asciiTheme="minorHAnsi" w:hAnsiTheme="minorHAnsi" w:cstheme="minorHAnsi"/>
        </w:rPr>
        <w:t xml:space="preserve">subjekt </w:t>
      </w:r>
      <w:r w:rsidR="00680253">
        <w:rPr>
          <w:rFonts w:asciiTheme="minorHAnsi" w:hAnsiTheme="minorHAnsi" w:cstheme="minorHAnsi"/>
        </w:rPr>
        <w:t xml:space="preserve">zúčastňujúci sa </w:t>
      </w:r>
      <w:r w:rsidR="00720163">
        <w:rPr>
          <w:rFonts w:asciiTheme="minorHAnsi" w:hAnsiTheme="minorHAnsi" w:cstheme="minorHAnsi"/>
        </w:rPr>
        <w:t>na realizácii Diela</w:t>
      </w:r>
      <w:r w:rsidR="0034263F" w:rsidRPr="00AE3441">
        <w:rPr>
          <w:rFonts w:asciiTheme="minorHAnsi" w:hAnsiTheme="minorHAnsi" w:cstheme="minorHAnsi"/>
        </w:rPr>
        <w:t xml:space="preserve"> bude poverenou osobou Objednávateľa  poučený o pravidlách </w:t>
      </w:r>
      <w:r w:rsidR="0034263F">
        <w:rPr>
          <w:rFonts w:asciiTheme="minorHAnsi" w:hAnsiTheme="minorHAnsi" w:cstheme="minorHAnsi"/>
        </w:rPr>
        <w:t>kybernetickej bezpečnosti</w:t>
      </w:r>
      <w:r w:rsidR="0034263F" w:rsidRPr="00AE3441">
        <w:rPr>
          <w:rFonts w:asciiTheme="minorHAnsi" w:hAnsiTheme="minorHAnsi" w:cstheme="minorHAnsi"/>
        </w:rPr>
        <w:t xml:space="preserve"> </w:t>
      </w:r>
      <w:r w:rsidR="00720163">
        <w:rPr>
          <w:rFonts w:asciiTheme="minorHAnsi" w:hAnsiTheme="minorHAnsi" w:cstheme="minorHAnsi"/>
        </w:rPr>
        <w:t>Objednávateľa</w:t>
      </w:r>
      <w:r w:rsidR="0034263F" w:rsidRPr="00AE3441">
        <w:rPr>
          <w:rFonts w:asciiTheme="minorHAnsi" w:hAnsiTheme="minorHAnsi" w:cstheme="minorHAnsi"/>
        </w:rPr>
        <w:t>, z čoho bude vy</w:t>
      </w:r>
      <w:r w:rsidR="0034263F">
        <w:rPr>
          <w:rFonts w:asciiTheme="minorHAnsi" w:hAnsiTheme="minorHAnsi" w:cstheme="minorHAnsi"/>
        </w:rPr>
        <w:t>hotovený</w:t>
      </w:r>
      <w:r w:rsidR="0034263F" w:rsidRPr="00AE3441">
        <w:rPr>
          <w:rFonts w:asciiTheme="minorHAnsi" w:hAnsiTheme="minorHAnsi" w:cstheme="minorHAnsi"/>
        </w:rPr>
        <w:t xml:space="preserve"> </w:t>
      </w:r>
      <w:r w:rsidR="00720163">
        <w:rPr>
          <w:rFonts w:asciiTheme="minorHAnsi" w:hAnsiTheme="minorHAnsi" w:cstheme="minorHAnsi"/>
        </w:rPr>
        <w:t xml:space="preserve"> písomný </w:t>
      </w:r>
      <w:r w:rsidR="0034263F" w:rsidRPr="00AE3441">
        <w:rPr>
          <w:rFonts w:asciiTheme="minorHAnsi" w:hAnsiTheme="minorHAnsi" w:cstheme="minorHAnsi"/>
        </w:rPr>
        <w:t>záznam, ktorý musí podpísať</w:t>
      </w:r>
      <w:r w:rsidR="009919CF">
        <w:rPr>
          <w:rFonts w:asciiTheme="minorHAnsi" w:hAnsiTheme="minorHAnsi" w:cstheme="minorHAnsi"/>
        </w:rPr>
        <w:t xml:space="preserve"> Objednávateľ a</w:t>
      </w:r>
      <w:r w:rsidR="0034263F" w:rsidRPr="00AE3441">
        <w:rPr>
          <w:rFonts w:asciiTheme="minorHAnsi" w:hAnsiTheme="minorHAnsi" w:cstheme="minorHAnsi"/>
        </w:rPr>
        <w:t xml:space="preserve"> konkrétny </w:t>
      </w:r>
      <w:r w:rsidR="00471765">
        <w:rPr>
          <w:rFonts w:asciiTheme="minorHAnsi" w:hAnsiTheme="minorHAnsi" w:cstheme="minorHAnsi"/>
        </w:rPr>
        <w:t>subjekt zúčastňujúci sa na realizácii Diela</w:t>
      </w:r>
      <w:r w:rsidR="009919CF">
        <w:rPr>
          <w:rFonts w:asciiTheme="minorHAnsi" w:hAnsiTheme="minorHAnsi" w:cstheme="minorHAnsi"/>
        </w:rPr>
        <w:t xml:space="preserve">. </w:t>
      </w:r>
      <w:r w:rsidR="0034263F" w:rsidRPr="00AE3441">
        <w:rPr>
          <w:rFonts w:asciiTheme="minorHAnsi" w:hAnsiTheme="minorHAnsi" w:cstheme="minorHAnsi"/>
        </w:rPr>
        <w:t xml:space="preserve">Poskytovateľ je povinný </w:t>
      </w:r>
      <w:r w:rsidR="00490309">
        <w:rPr>
          <w:rFonts w:asciiTheme="minorHAnsi" w:hAnsiTheme="minorHAnsi" w:cstheme="minorHAnsi"/>
        </w:rPr>
        <w:t xml:space="preserve">bez zbytočného odkladu najneskôr do </w:t>
      </w:r>
      <w:r w:rsidR="00A2066A">
        <w:rPr>
          <w:rFonts w:asciiTheme="minorHAnsi" w:hAnsiTheme="minorHAnsi" w:cstheme="minorHAnsi"/>
        </w:rPr>
        <w:t>10</w:t>
      </w:r>
      <w:r w:rsidR="001F2B8B">
        <w:rPr>
          <w:rFonts w:asciiTheme="minorHAnsi" w:hAnsiTheme="minorHAnsi" w:cstheme="minorHAnsi"/>
        </w:rPr>
        <w:t xml:space="preserve"> dní </w:t>
      </w:r>
      <w:r w:rsidR="00ED6FD3">
        <w:rPr>
          <w:rFonts w:asciiTheme="minorHAnsi" w:hAnsiTheme="minorHAnsi" w:cstheme="minorHAnsi"/>
        </w:rPr>
        <w:t xml:space="preserve"> po </w:t>
      </w:r>
      <w:r w:rsidR="0034263F" w:rsidRPr="00AE3441">
        <w:rPr>
          <w:rFonts w:asciiTheme="minorHAnsi" w:hAnsiTheme="minorHAnsi" w:cstheme="minorHAnsi"/>
        </w:rPr>
        <w:t xml:space="preserve">zmene (pridaní/odobratí) </w:t>
      </w:r>
      <w:r w:rsidR="00AC659A">
        <w:rPr>
          <w:rFonts w:asciiTheme="minorHAnsi" w:hAnsiTheme="minorHAnsi" w:cstheme="minorHAnsi"/>
        </w:rPr>
        <w:t>subjektu/ov</w:t>
      </w:r>
      <w:r w:rsidR="0034263F" w:rsidRPr="00AE3441">
        <w:rPr>
          <w:rFonts w:asciiTheme="minorHAnsi" w:hAnsiTheme="minorHAnsi" w:cstheme="minorHAnsi"/>
        </w:rPr>
        <w:t xml:space="preserve"> </w:t>
      </w:r>
      <w:r w:rsidR="0034263F">
        <w:rPr>
          <w:rFonts w:asciiTheme="minorHAnsi" w:hAnsiTheme="minorHAnsi" w:cstheme="minorHAnsi"/>
        </w:rPr>
        <w:t>zúč</w:t>
      </w:r>
      <w:r w:rsidR="0034263F" w:rsidRPr="00AE3441">
        <w:rPr>
          <w:rFonts w:asciiTheme="minorHAnsi" w:hAnsiTheme="minorHAnsi" w:cstheme="minorHAnsi"/>
        </w:rPr>
        <w:t>as</w:t>
      </w:r>
      <w:r w:rsidR="0034263F">
        <w:rPr>
          <w:rFonts w:asciiTheme="minorHAnsi" w:hAnsiTheme="minorHAnsi" w:cstheme="minorHAnsi"/>
        </w:rPr>
        <w:t>tnen</w:t>
      </w:r>
      <w:r w:rsidR="00AC659A">
        <w:rPr>
          <w:rFonts w:asciiTheme="minorHAnsi" w:hAnsiTheme="minorHAnsi" w:cstheme="minorHAnsi"/>
        </w:rPr>
        <w:t>ých na realizácii Diela</w:t>
      </w:r>
      <w:r w:rsidR="0034263F" w:rsidRPr="00AE3441">
        <w:rPr>
          <w:rFonts w:asciiTheme="minorHAnsi" w:hAnsiTheme="minorHAnsi" w:cstheme="minorHAnsi"/>
        </w:rPr>
        <w:t xml:space="preserve"> informovať </w:t>
      </w:r>
      <w:r w:rsidR="001F2B8B">
        <w:rPr>
          <w:rFonts w:asciiTheme="minorHAnsi" w:hAnsiTheme="minorHAnsi" w:cstheme="minorHAnsi"/>
        </w:rPr>
        <w:t xml:space="preserve">o tejto skutočnosti </w:t>
      </w:r>
      <w:r w:rsidR="0034263F" w:rsidRPr="00AE3441">
        <w:rPr>
          <w:rFonts w:asciiTheme="minorHAnsi" w:hAnsiTheme="minorHAnsi" w:cstheme="minorHAnsi"/>
        </w:rPr>
        <w:t>Objednáva</w:t>
      </w:r>
      <w:r w:rsidR="0034263F">
        <w:rPr>
          <w:rFonts w:asciiTheme="minorHAnsi" w:hAnsiTheme="minorHAnsi" w:cstheme="minorHAnsi"/>
        </w:rPr>
        <w:t>teľ</w:t>
      </w:r>
      <w:r w:rsidR="0034263F" w:rsidRPr="00AE3441">
        <w:rPr>
          <w:rFonts w:asciiTheme="minorHAnsi" w:hAnsiTheme="minorHAnsi" w:cstheme="minorHAnsi"/>
        </w:rPr>
        <w:t>a</w:t>
      </w:r>
      <w:r w:rsidR="0066192C">
        <w:rPr>
          <w:rFonts w:asciiTheme="minorHAnsi" w:hAnsiTheme="minorHAnsi" w:cstheme="minorHAnsi"/>
        </w:rPr>
        <w:t xml:space="preserve"> na základe čoho Objednávateľ zabezpečí aktualizáciu </w:t>
      </w:r>
      <w:r w:rsidR="005A5657">
        <w:rPr>
          <w:rFonts w:asciiTheme="minorHAnsi" w:hAnsiTheme="minorHAnsi" w:cstheme="minorHAnsi"/>
        </w:rPr>
        <w:t>zoznamu subjektov</w:t>
      </w:r>
      <w:r w:rsidR="00E77503">
        <w:rPr>
          <w:rFonts w:asciiTheme="minorHAnsi" w:hAnsiTheme="minorHAnsi" w:cstheme="minorHAnsi"/>
        </w:rPr>
        <w:t xml:space="preserve"> v súlade so Zmluvou.</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9" w:name="_Hlk168502327"/>
      <w:r w:rsidR="00924D7F" w:rsidRPr="00AA663C">
        <w:rPr>
          <w:rFonts w:asciiTheme="minorHAnsi" w:hAnsiTheme="minorHAnsi" w:cstheme="minorHAnsi"/>
          <w:b/>
          <w:bCs/>
        </w:rPr>
        <w:t>KBI</w:t>
      </w:r>
      <w:bookmarkEnd w:id="9"/>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 osoba nahlasovateľa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 xml:space="preserve">65 a nasl.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560C3311"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r w:rsidR="00AC6ABD" w:rsidRPr="00AA663C">
          <w:rPr>
            <w:rFonts w:asciiTheme="minorHAnsi" w:hAnsiTheme="minorHAnsi" w:cstheme="minorHAnsi"/>
            <w:sz w:val="22"/>
            <w:szCs w:val="22"/>
          </w:rPr>
          <w:t>xxxxxxxxxxxxxxxxxxxxx</w:t>
        </w:r>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r w:rsidR="00AC6ABD" w:rsidRPr="00AA663C">
          <w:rPr>
            <w:rFonts w:asciiTheme="minorHAnsi" w:hAnsiTheme="minorHAnsi" w:cstheme="minorHAnsi"/>
            <w:b/>
            <w:bCs/>
            <w:sz w:val="22"/>
            <w:szCs w:val="22"/>
          </w:rPr>
          <w:t>xxxxxxxxxxxxxxxxxxxxx</w:t>
        </w:r>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10" w:name="_Hlk481159816"/>
      <w:r w:rsidR="00EC6A12" w:rsidRPr="39326C97">
        <w:rPr>
          <w:rFonts w:asciiTheme="minorHAnsi" w:hAnsiTheme="minorHAnsi" w:cstheme="minorBidi"/>
        </w:rPr>
        <w:t>zápisu do registra partnerov verejného sektora</w:t>
      </w:r>
      <w:bookmarkEnd w:id="10"/>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xml:space="preserv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ust. § 34 ods. 3 ZVO a ust.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A782FD9"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974DCE">
        <w:rPr>
          <w:rFonts w:asciiTheme="minorHAnsi" w:hAnsiTheme="minorHAnsi" w:cstheme="minorBidi"/>
        </w:rPr>
        <w:t> </w:t>
      </w:r>
      <w:r w:rsidR="004050C3">
        <w:rPr>
          <w:rFonts w:asciiTheme="minorHAnsi" w:hAnsiTheme="minorHAnsi" w:cstheme="minorBidi"/>
        </w:rPr>
        <w:t>Č</w:t>
      </w:r>
      <w:r w:rsidR="00974DCE">
        <w:rPr>
          <w:rFonts w:asciiTheme="minorHAnsi" w:hAnsiTheme="minorHAnsi" w:cstheme="minorBidi"/>
        </w:rPr>
        <w:t xml:space="preserve">lánku </w:t>
      </w:r>
      <w:r w:rsidR="004050C3">
        <w:rPr>
          <w:rFonts w:asciiTheme="minorHAnsi" w:hAnsiTheme="minorHAnsi" w:cstheme="minorBidi"/>
        </w:rPr>
        <w:t>VII</w:t>
      </w:r>
      <w:r w:rsidR="005250AE">
        <w:rPr>
          <w:rFonts w:asciiTheme="minorHAnsi" w:hAnsiTheme="minorHAnsi" w:cstheme="minorBidi"/>
        </w:rPr>
        <w:t xml:space="preserve"> a/alebo</w:t>
      </w:r>
      <w:r w:rsidR="004050C3">
        <w:rPr>
          <w:rFonts w:asciiTheme="minorHAnsi" w:hAnsiTheme="minorHAnsi" w:cstheme="minorBidi"/>
        </w:rPr>
        <w:t xml:space="preserve"> Článku </w:t>
      </w:r>
      <w:r w:rsidR="0086740D" w:rsidRPr="04BF7D4C">
        <w:rPr>
          <w:rFonts w:asciiTheme="minorHAnsi" w:hAnsiTheme="minorHAnsi" w:cstheme="minorBidi"/>
        </w:rPr>
        <w:t xml:space="preserve">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Exit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5074443B" w:rsidR="00F95614"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r w:rsidR="006339FA">
        <w:rPr>
          <w:rFonts w:asciiTheme="minorHAnsi" w:eastAsia="Calibri" w:hAnsiTheme="minorHAnsi" w:cstheme="minorBidi"/>
          <w:kern w:val="0"/>
          <w:sz w:val="22"/>
          <w:szCs w:val="22"/>
          <w:lang w:eastAsia="en-US" w:bidi="ar-SA"/>
        </w:rPr>
        <w:t xml:space="preserve"> (OvZP)</w:t>
      </w:r>
    </w:p>
    <w:p w14:paraId="236359AD" w14:textId="6967D169" w:rsidR="002961A3" w:rsidRPr="00F81124" w:rsidRDefault="002961A3" w:rsidP="009F1F40">
      <w:pPr>
        <w:pStyle w:val="Standard"/>
        <w:ind w:left="1418" w:hanging="1418"/>
        <w:jc w:val="both"/>
        <w:rPr>
          <w:rFonts w:asciiTheme="minorHAnsi" w:hAnsiTheme="minorHAnsi" w:cstheme="minorBidi"/>
          <w:sz w:val="22"/>
          <w:szCs w:val="22"/>
        </w:rPr>
      </w:pPr>
      <w:r w:rsidRPr="00F81124">
        <w:rPr>
          <w:rFonts w:asciiTheme="minorHAnsi" w:hAnsiTheme="minorHAnsi" w:cstheme="minorBidi"/>
          <w:sz w:val="22"/>
          <w:szCs w:val="22"/>
        </w:rPr>
        <w:t>Príloha č. 8 -</w:t>
      </w:r>
      <w:r w:rsidRPr="00F81124">
        <w:rPr>
          <w:rFonts w:asciiTheme="minorHAnsi" w:hAnsiTheme="minorHAnsi" w:cstheme="minorBidi"/>
          <w:sz w:val="22"/>
          <w:szCs w:val="22"/>
        </w:rPr>
        <w:tab/>
        <w:t>Zoznam preexistent</w:t>
      </w:r>
      <w:r w:rsidR="005E673A" w:rsidRPr="00F81124">
        <w:rPr>
          <w:rFonts w:asciiTheme="minorHAnsi" w:hAnsiTheme="minorHAnsi" w:cstheme="minorBidi"/>
          <w:sz w:val="22"/>
          <w:szCs w:val="22"/>
        </w:rPr>
        <w:t>n</w:t>
      </w:r>
      <w:r w:rsidRPr="00F81124">
        <w:rPr>
          <w:rFonts w:asciiTheme="minorHAnsi" w:hAnsiTheme="minorHAnsi" w:cstheme="minorBidi"/>
          <w:sz w:val="22"/>
          <w:szCs w:val="22"/>
        </w:rPr>
        <w:t>ého softvéru</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xxxxx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dňa: xxxxx</w:t>
      </w:r>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Exit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11"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r>
              <w:t>OvZP</w:t>
            </w:r>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r>
              <w:t>eIDAS</w:t>
            </w:r>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r>
              <w:t>ASICe</w:t>
            </w:r>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r>
              <w:t>eDesk</w:t>
            </w:r>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Service level agreement;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r>
              <w:t>SkTalk</w:t>
            </w:r>
          </w:p>
        </w:tc>
        <w:tc>
          <w:tcPr>
            <w:tcW w:w="4570" w:type="dxa"/>
          </w:tcPr>
          <w:p w14:paraId="39B7F1A0" w14:textId="48638A90" w:rsidR="00DE3A41" w:rsidRDefault="00DE3A41">
            <w:pPr>
              <w:spacing w:line="259" w:lineRule="auto"/>
            </w:pPr>
            <w:r w:rsidRPr="0EFFE5DD">
              <w:t>Formát elektronickej správy je založený na schéme elektronickej správy, ktorá je štandardom middleware protokolov sieťovej komunikácie podľa osobitného predpisu</w:t>
            </w:r>
            <w:r w:rsidR="00E103C8">
              <w:t xml:space="preserve"> </w:t>
            </w:r>
            <w:hyperlink r:id="rId17" w:anchor="poznamky.poznamka-1">
              <w:r w:rsidRPr="0EFFE5DD">
                <w:t>1.</w:t>
              </w:r>
            </w:hyperlink>
            <w:r w:rsidRPr="0EFFE5DD">
              <w:t xml:space="preserve"> Elektronická správa sa prenáša s použitím SkTalk.</w:t>
            </w:r>
          </w:p>
        </w:tc>
      </w:tr>
      <w:tr w:rsidR="003A02BF" w14:paraId="631A0833" w14:textId="77777777" w:rsidTr="00442A2A">
        <w:trPr>
          <w:trHeight w:val="300"/>
        </w:trPr>
        <w:tc>
          <w:tcPr>
            <w:tcW w:w="4490" w:type="dxa"/>
          </w:tcPr>
          <w:p w14:paraId="4A10F173" w14:textId="2B5F73AA" w:rsidR="003A02BF" w:rsidRDefault="003A02BF">
            <w:r>
              <w:t>UAT</w:t>
            </w:r>
          </w:p>
        </w:tc>
        <w:tc>
          <w:tcPr>
            <w:tcW w:w="4570" w:type="dxa"/>
          </w:tcPr>
          <w:p w14:paraId="070B99DB" w14:textId="409981B5" w:rsidR="003A02BF" w:rsidRPr="0EFFE5DD" w:rsidRDefault="003A02BF">
            <w:r w:rsidRPr="007136E8">
              <w:rPr>
                <w:rFonts w:cstheme="minorHAnsi"/>
                <w:bCs/>
              </w:rPr>
              <w:t xml:space="preserve">User Acceptance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r>
              <w:t>Lightweight Directory Access Protocol. Štandardizovaný aplikačný protokol navrhnutý na dotazovanie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r w:rsidRPr="00AA663C">
              <w:rPr>
                <w:rFonts w:asciiTheme="minorHAnsi" w:hAnsiTheme="minorHAnsi" w:cstheme="minorHAnsi"/>
                <w:bCs/>
              </w:rPr>
              <w:t xml:space="preserve">Preexistentný open source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r w:rsidRPr="00AA663C">
              <w:t>open source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r w:rsidRPr="00AA663C">
              <w:rPr>
                <w:rFonts w:asciiTheme="minorHAnsi" w:hAnsiTheme="minorHAnsi" w:cstheme="minorHAnsi"/>
                <w:bCs/>
              </w:rPr>
              <w:t>Preexistentný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preexistentného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r w:rsidRPr="00AA663C">
              <w:rPr>
                <w:rFonts w:asciiTheme="minorHAnsi" w:hAnsiTheme="minorHAnsi" w:cstheme="minorHAnsi"/>
                <w:bCs/>
              </w:rPr>
              <w:t xml:space="preserve">Preexistentný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činnosť, ktorá spočíva v ponuke tovaru a/alebo služieb na trhu. Preexistentný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r w:rsidR="0028291B" w14:paraId="37013909" w14:textId="77777777" w:rsidTr="00442A2A">
        <w:trPr>
          <w:trHeight w:val="300"/>
        </w:trPr>
        <w:tc>
          <w:tcPr>
            <w:tcW w:w="4490" w:type="dxa"/>
          </w:tcPr>
          <w:p w14:paraId="5E44C852" w14:textId="0C06BC7A" w:rsidR="0028291B" w:rsidRPr="00AA663C" w:rsidRDefault="0028291B" w:rsidP="6FB9A42B">
            <w:pPr>
              <w:rPr>
                <w:rFonts w:asciiTheme="minorHAnsi" w:hAnsiTheme="minorHAnsi" w:cstheme="minorHAnsi"/>
                <w:bCs/>
              </w:rPr>
            </w:pPr>
            <w:r>
              <w:rPr>
                <w:rFonts w:asciiTheme="minorHAnsi" w:hAnsiTheme="minorHAnsi" w:cstheme="minorHAnsi"/>
                <w:bCs/>
              </w:rPr>
              <w:t>RTO</w:t>
            </w:r>
          </w:p>
        </w:tc>
        <w:tc>
          <w:tcPr>
            <w:tcW w:w="4570" w:type="dxa"/>
          </w:tcPr>
          <w:p w14:paraId="0FC5EC26" w14:textId="7B2C341A" w:rsidR="0028291B" w:rsidRPr="00AA663C" w:rsidRDefault="0028291B" w:rsidP="00AA663C">
            <w:pPr>
              <w:pStyle w:val="MLOdsek"/>
              <w:numPr>
                <w:ilvl w:val="0"/>
                <w:numId w:val="0"/>
              </w:numPr>
              <w:spacing w:before="120" w:line="240" w:lineRule="auto"/>
              <w:ind w:left="78"/>
            </w:pPr>
            <w:r w:rsidRPr="0028291B">
              <w:t>určuje maximálny čas, ktorý môže systém/služba ostať nefunkčná po výpadku</w:t>
            </w:r>
          </w:p>
        </w:tc>
      </w:tr>
      <w:tr w:rsidR="0028291B" w14:paraId="49916154" w14:textId="77777777" w:rsidTr="00442A2A">
        <w:trPr>
          <w:trHeight w:val="300"/>
        </w:trPr>
        <w:tc>
          <w:tcPr>
            <w:tcW w:w="4490" w:type="dxa"/>
          </w:tcPr>
          <w:p w14:paraId="6946F5F9" w14:textId="378436E0" w:rsidR="0028291B" w:rsidRDefault="0028291B" w:rsidP="6FB9A42B">
            <w:pPr>
              <w:rPr>
                <w:rFonts w:asciiTheme="minorHAnsi" w:hAnsiTheme="minorHAnsi" w:cstheme="minorHAnsi"/>
                <w:bCs/>
              </w:rPr>
            </w:pPr>
            <w:r>
              <w:rPr>
                <w:rFonts w:asciiTheme="minorHAnsi" w:hAnsiTheme="minorHAnsi" w:cstheme="minorHAnsi"/>
                <w:bCs/>
              </w:rPr>
              <w:t>RPO</w:t>
            </w:r>
          </w:p>
        </w:tc>
        <w:tc>
          <w:tcPr>
            <w:tcW w:w="4570" w:type="dxa"/>
          </w:tcPr>
          <w:p w14:paraId="625748D1" w14:textId="04354CBB" w:rsidR="0028291B" w:rsidRPr="0028291B" w:rsidRDefault="0028291B" w:rsidP="00AA663C">
            <w:pPr>
              <w:pStyle w:val="MLOdsek"/>
              <w:numPr>
                <w:ilvl w:val="0"/>
                <w:numId w:val="0"/>
              </w:numPr>
              <w:spacing w:before="120" w:line="240" w:lineRule="auto"/>
              <w:ind w:left="78"/>
            </w:pPr>
            <w:r w:rsidRPr="0028291B">
              <w:t>RPO udáva maximálne prípustné množstvo dát, ktoré môže podnik stratiť v dôsledku výpadku  ( t.j. od poslednej zálohy)</w:t>
            </w:r>
          </w:p>
        </w:tc>
      </w:tr>
      <w:tr w:rsidR="0028291B" w14:paraId="3B8AE39A" w14:textId="77777777" w:rsidTr="00442A2A">
        <w:trPr>
          <w:trHeight w:val="300"/>
        </w:trPr>
        <w:tc>
          <w:tcPr>
            <w:tcW w:w="4490" w:type="dxa"/>
          </w:tcPr>
          <w:p w14:paraId="7215BC2C" w14:textId="27A80B48" w:rsidR="0028291B" w:rsidRDefault="0028291B" w:rsidP="6FB9A42B">
            <w:pPr>
              <w:rPr>
                <w:rFonts w:asciiTheme="minorHAnsi" w:hAnsiTheme="minorHAnsi" w:cstheme="minorHAnsi"/>
                <w:bCs/>
              </w:rPr>
            </w:pPr>
            <w:r>
              <w:rPr>
                <w:rFonts w:asciiTheme="minorHAnsi" w:hAnsiTheme="minorHAnsi" w:cstheme="minorHAnsi"/>
                <w:bCs/>
              </w:rPr>
              <w:t>BCM</w:t>
            </w:r>
          </w:p>
        </w:tc>
        <w:tc>
          <w:tcPr>
            <w:tcW w:w="4570" w:type="dxa"/>
          </w:tcPr>
          <w:p w14:paraId="46E0DCFE" w14:textId="34BCACED" w:rsidR="0028291B" w:rsidRPr="0028291B" w:rsidRDefault="0028291B" w:rsidP="00AA663C">
            <w:pPr>
              <w:pStyle w:val="MLOdsek"/>
              <w:numPr>
                <w:ilvl w:val="0"/>
                <w:numId w:val="0"/>
              </w:numPr>
              <w:spacing w:before="120" w:line="240" w:lineRule="auto"/>
              <w:ind w:left="78"/>
            </w:pPr>
            <w:r w:rsidRPr="0028291B">
              <w:t>Business Continuity Management</w:t>
            </w:r>
            <w:r>
              <w:t xml:space="preserve"> - </w:t>
            </w:r>
            <w:r w:rsidRPr="0028291B">
              <w:t>riadenie kontinuity činnost</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prístupy z viacerých organizácií – BBSK, OvZP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542B2A3C" w14:textId="77777777" w:rsidR="0028291B" w:rsidRPr="00372C08" w:rsidRDefault="0028291B" w:rsidP="0028291B">
      <w:pPr>
        <w:spacing w:after="0" w:line="240" w:lineRule="auto"/>
        <w:jc w:val="both"/>
        <w:rPr>
          <w:rFonts w:cstheme="minorHAnsi"/>
        </w:rPr>
      </w:pPr>
      <w:r w:rsidRPr="00372C08">
        <w:rPr>
          <w:rFonts w:cstheme="minorHAnsi"/>
        </w:rPr>
        <w:t xml:space="preserve">Poskytovateľ zabezpečí aby aplikácia a virtualizačné rozhranie podporovali odosielanie  všetkých typov logov na externý SIEM systém. </w:t>
      </w:r>
    </w:p>
    <w:p w14:paraId="17002627" w14:textId="77777777" w:rsidR="0028291B" w:rsidRDefault="0028291B" w:rsidP="0028291B">
      <w:pPr>
        <w:spacing w:after="0" w:line="240" w:lineRule="auto"/>
        <w:jc w:val="both"/>
        <w:rPr>
          <w:rFonts w:cstheme="minorHAnsi"/>
        </w:rPr>
      </w:pPr>
    </w:p>
    <w:p w14:paraId="7BC45E49" w14:textId="77777777" w:rsidR="0028291B" w:rsidRPr="00952017" w:rsidRDefault="0028291B" w:rsidP="0028291B">
      <w:pPr>
        <w:spacing w:after="0" w:line="240" w:lineRule="auto"/>
        <w:jc w:val="both"/>
        <w:rPr>
          <w:rFonts w:cstheme="minorHAnsi"/>
          <w:b/>
          <w:bCs/>
        </w:rPr>
      </w:pPr>
      <w:r w:rsidRPr="00952017">
        <w:rPr>
          <w:rFonts w:cstheme="minorHAnsi"/>
          <w:b/>
          <w:bCs/>
        </w:rPr>
        <w:t>Logovanie</w:t>
      </w:r>
    </w:p>
    <w:p w14:paraId="37621899" w14:textId="77777777" w:rsidR="0028291B" w:rsidRPr="0035076F" w:rsidRDefault="0028291B" w:rsidP="0028291B">
      <w:pPr>
        <w:spacing w:after="0" w:line="240" w:lineRule="auto"/>
        <w:jc w:val="both"/>
        <w:rPr>
          <w:rFonts w:cstheme="minorHAnsi"/>
        </w:rPr>
      </w:pPr>
      <w:r w:rsidRPr="0035076F">
        <w:rPr>
          <w:rFonts w:cstheme="minorHAnsi"/>
        </w:rPr>
        <w:t>Obsah logov</w:t>
      </w:r>
    </w:p>
    <w:p w14:paraId="495665A5"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Musí byť implementované logovanie a logy by mali zaznamenávať minimálne:</w:t>
      </w:r>
    </w:p>
    <w:p w14:paraId="12865066"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Prihlásenie a odhlásenie</w:t>
      </w:r>
    </w:p>
    <w:p w14:paraId="45C70A48"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 xml:space="preserve">(Úspešné aj neúspešné) Vytvorenie, modifikáciu alebo zmazanie používateľa alebo skupiny </w:t>
      </w:r>
    </w:p>
    <w:p w14:paraId="7FE252F4"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pristúpiť k citlivým údajom (údaje klasifikované hornými dvomi klasifikačnými stupňami v rámci organizácie)</w:t>
      </w:r>
    </w:p>
    <w:p w14:paraId="289562F0"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o kritické operácie</w:t>
      </w:r>
    </w:p>
    <w:p w14:paraId="06015441"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Spustenie procesu alebo služby</w:t>
      </w:r>
    </w:p>
    <w:p w14:paraId="7C09E487"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 xml:space="preserve">(Úspešné aj neúspešné) Pokusy o prihlásenie prostredníctvom RDP, SSH, VPN </w:t>
      </w:r>
    </w:p>
    <w:p w14:paraId="2291019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Logy musia byť centrálne  ukladané a archivované minimálne 6 mesiacov</w:t>
      </w:r>
    </w:p>
    <w:p w14:paraId="2FF78D2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Riešenie musí podporovať aj logovanie minimálne vo formáte syslog a musí podporovať preposielanie týchto logov na externý syslog server.</w:t>
      </w:r>
    </w:p>
    <w:p w14:paraId="46EFA01C" w14:textId="77777777" w:rsidR="0028291B" w:rsidRPr="0035076F" w:rsidRDefault="0028291B" w:rsidP="0028291B">
      <w:pPr>
        <w:spacing w:after="0" w:line="240" w:lineRule="auto"/>
        <w:jc w:val="both"/>
        <w:rPr>
          <w:rFonts w:cstheme="minorHAnsi"/>
        </w:rPr>
      </w:pPr>
      <w:r w:rsidRPr="0035076F">
        <w:rPr>
          <w:rFonts w:cstheme="minorHAnsi"/>
        </w:rPr>
        <w:t>Aktívne logovanie</w:t>
      </w:r>
    </w:p>
    <w:p w14:paraId="71DE24D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Malo by byť použité kombinované logovanie na ukladanie Transfer logov (formát podporujúci prispôsobenie formátu logu). Ak takýto formát nie je dostupný, je potrebné zabezpečiť aby bolo logované aj hlavičky Referer a User-Agent.</w:t>
      </w:r>
    </w:p>
    <w:p w14:paraId="72374D2D"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Pre každý virtuálny host na fyzickom webserveri by mal existovať separátny log.</w:t>
      </w:r>
    </w:p>
    <w:p w14:paraId="4E989CE0"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V logoch musia byť uvedené: timestamp, kedy udalosť nastala, vrátane určenia časovej zóny, verejná IP adresa používateľa, dopytovaná stránka/URL, HTTP kód odpovede servera, veľkosť odpovede servera v bytoch, obsahy hlavičiek User-Agent a Referer. V prípade záznamov o udalostiach súvisiacich s autentifikáciou alebo s činnosťou  autentifikovaného používateľa je nutné zaznamenať účet a akciu, aká bola vykonaná.</w:t>
      </w:r>
    </w:p>
    <w:p w14:paraId="4FC71C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uchovávané na separátnom zariadení, resp. na separátnej logickej partícii.</w:t>
      </w:r>
    </w:p>
    <w:p w14:paraId="248A626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Na uchovávanie logov musí byť vyhradená dostatočná kapacita.</w:t>
      </w:r>
    </w:p>
    <w:p w14:paraId="6BECDB0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by mali byť archivované po dobu stanovenú pravidlami organizácie, minimálne však počas 6 mesiacov.</w:t>
      </w:r>
    </w:p>
    <w:p w14:paraId="789CB4A6"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prezerané v pravidelných intervaloch v závislosti od politiky organizácie, minimálne však raz týždenne. V prípade služieb, ktoré  spracúvajú citlivé údaje alebo ich správna činnosť ovplyvňuje kritické aktíva organizácie, by mali byť logy kontrolované denne.</w:t>
      </w:r>
    </w:p>
    <w:p w14:paraId="2ECB3B38"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obsahovať korektné informácie o dátume, čase a použitej časovej zóne. Pre korektné nastavenie času sa odporúča nastaviť synchornizáciu s dôveryhodným NTP serverom. Odporúča sa využiť autentifikovanú NTP synchronizáciu.</w:t>
      </w:r>
    </w:p>
    <w:p w14:paraId="45AB91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Všetky servery a syslog servery musia byť synchronizované s dôveryhodným NTP serverom.</w:t>
      </w:r>
    </w:p>
    <w:p w14:paraId="61E6E65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Logovanie musí byť nastavené tak, aby prípadné zaplnenie logovacieho miesta neovplyvnilo stabilitu OS. Možné opatrenia: samostatná disková partícia, rotovanie logov a maximálna veľkosť logov.</w:t>
      </w:r>
    </w:p>
    <w:p w14:paraId="7220B2E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z kritických služieb a serverov musia byť synchronizované na samostatné logovacie zariadenie.</w:t>
      </w:r>
    </w:p>
    <w:p w14:paraId="6B7B8947"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Logovacie súbory by mali byť zabezpečené aspoň takýmto spôsobom:</w:t>
      </w:r>
    </w:p>
    <w:p w14:paraId="7D4E4853"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Mali by byť čitateľné len administrátorom.</w:t>
      </w:r>
    </w:p>
    <w:p w14:paraId="3F3988C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Nemali by byť prepisovateľné a vymazateľné (mal by byť možný len zápis na koniec súboru)</w:t>
      </w:r>
    </w:p>
    <w:p w14:paraId="1D40C7B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Odporúča sa komprimovať  a šifrovať archivované logovacie súbory. Pri ručnej archivácii sa odporúča aj podpisovať logovacie súbory.</w:t>
      </w:r>
    </w:p>
    <w:p w14:paraId="0344C20E" w14:textId="78741AE6" w:rsidR="0028291B" w:rsidRDefault="0028291B" w:rsidP="0028291B">
      <w:pPr>
        <w:jc w:val="both"/>
        <w:rPr>
          <w:rFonts w:cstheme="minorHAnsi"/>
        </w:rPr>
      </w:pPr>
      <w:r w:rsidRPr="0035076F">
        <w:rPr>
          <w:rFonts w:cstheme="minorHAnsi"/>
        </w:rPr>
        <w:t>Granularita logovania musí zodpovedať požiadavkám danej služby alebo zariadenia a jeho kritickosti.</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Zálohovanie produkčného prostredia, ako aj jeho prípadnú obnovu zabezpečuje Poskytovateľ následne po každej implementovanej a akceptovanej zmene v systéme formou zálohy celej entity virtualizovaného prostredia, v ktorom zmena nastala</w:t>
      </w:r>
      <w:r>
        <w:rPr>
          <w:rFonts w:cstheme="minorHAnsi"/>
        </w:rPr>
        <w:t>,</w:t>
      </w:r>
      <w:r w:rsidRPr="002C1D0F">
        <w:rPr>
          <w:rFonts w:cstheme="minorHAnsi"/>
        </w:rPr>
        <w:t xml:space="preserve"> na médiu, ktoré musí byť geograficky oddelené od miesta prevádzkovaného cloudu. </w:t>
      </w:r>
    </w:p>
    <w:p w14:paraId="057F1B67" w14:textId="4333894F" w:rsidR="0034263F" w:rsidRPr="002C1D0F" w:rsidRDefault="0034263F" w:rsidP="00DE3A41">
      <w:pPr>
        <w:jc w:val="both"/>
        <w:rPr>
          <w:rFonts w:cstheme="minorHAnsi"/>
        </w:rPr>
      </w:pPr>
      <w:r w:rsidRPr="0034263F">
        <w:rPr>
          <w:rFonts w:cstheme="minorHAnsi"/>
        </w:rPr>
        <w:t>Nakoľko systém RIS bude zaradený medzi kritické informačné systémy BBSK, zálohovanie je potrebné nastaviť tak, aby bolo možné obnoviť prevádzku RIS na základe vypracovaného BCM  pre službu. RTO pre túto službu požaduje Objednávateľ na úrovni na 1 deň. Škálovateľnosť zálohovania je požadovaná na úrovní od 1 hodiny do 7 dní s možnosťou inkrementálnej zálohy  samotnej služby z dôvodu šetrenia kapacity úložiska. RPO pre samotnú službu je stanovené na 2 hodiny.   Záloha virtualizačného prostredia je taktiež požadovaná na úrovni definovanej v BCM objednávateľa a RPO na 1 deň.</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r w:rsidR="00DE3A41" w:rsidRPr="00036A77">
        <w:t>Fabasoft eGov-Suite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(t.j. vládne dátové cloudové centrum)</w:t>
      </w:r>
      <w:r w:rsidR="00DE3A41" w:rsidRPr="00036A77">
        <w:rPr>
          <w:rFonts w:cstheme="minorHAnsi"/>
        </w:rPr>
        <w:t xml:space="preserve"> vrátane zmigrovaných dát zo systému </w:t>
      </w:r>
      <w:r w:rsidR="00DE3A41" w:rsidRPr="00036A77">
        <w:t>Fabasoft eGov-Suite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r w:rsidRPr="00AA663C">
        <w:rPr>
          <w:rFonts w:asciiTheme="minorHAnsi" w:hAnsiTheme="minorHAnsi" w:cstheme="minorHAnsi"/>
        </w:rPr>
        <w:t>Poskytovateĺ</w:t>
      </w:r>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r>
        <w:t>Reporting</w:t>
      </w:r>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ožnosť prehľadných výstupov a manažérskych reportov; API rozhranie resp. reporting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Objednávateľ disponuje nástrojom Power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(Active Directory resp. Azure AD resp. MS Entra (Azure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OVzP, </w:t>
      </w:r>
      <w:r w:rsidR="00414DFB">
        <w:t>7</w:t>
      </w:r>
      <w:r>
        <w:t>0 používateľov na BBRSC.</w:t>
      </w:r>
    </w:p>
    <w:p w14:paraId="2442D20E" w14:textId="77777777" w:rsidR="00DE3A41" w:rsidRDefault="00DE3A41" w:rsidP="00DE3A41">
      <w:pPr>
        <w:pStyle w:val="Heading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r w:rsidRPr="002C1D0F">
        <w:rPr>
          <w:rFonts w:cstheme="minorHAnsi"/>
        </w:rPr>
        <w:t>cloude</w:t>
      </w:r>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sign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konfigurovateľnosť, ktorá umožní realizáciu jednoduchej customizácie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cloude</w:t>
      </w:r>
      <w:r w:rsidR="00130D57">
        <w:rPr>
          <w:rFonts w:cstheme="minorHAnsi"/>
        </w:rPr>
        <w:t xml:space="preserve"> (t.j.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Komunikácia bude zabezpečená prostredníctvom protokolu https,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je následne prihlásený automaticky využitím SSO (single sign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voči útokom typu SQL injection, cross site scripting a DoS (Denial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auditového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12" w:name="_Toc46857231"/>
      <w:r w:rsidRPr="00216119">
        <w:t>Požiadavky na SW licencie a licenčné požiadavky</w:t>
      </w:r>
      <w:bookmarkEnd w:id="12"/>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xml:space="preserve"> cloude. </w:t>
      </w:r>
      <w:r>
        <w:rPr>
          <w:rFonts w:cstheme="minorHAnsi"/>
          <w:bCs/>
        </w:rPr>
        <w:t>Objednávateľ</w:t>
      </w:r>
      <w:r w:rsidRPr="007136E8">
        <w:rPr>
          <w:rFonts w:cstheme="minorHAnsi"/>
          <w:bCs/>
        </w:rPr>
        <w:t xml:space="preserve"> rovnako požaduje integráciu LDAP služby pre správu používateľov (Active Directory, Azure AD). </w:t>
      </w:r>
    </w:p>
    <w:p w14:paraId="6E4F83F5" w14:textId="77777777" w:rsidR="00DE3A41" w:rsidRDefault="00DE3A41" w:rsidP="00DE3A41">
      <w:pPr>
        <w:pStyle w:val="Heading2"/>
      </w:pPr>
      <w:bookmarkStart w:id="13" w:name="_Toc46857254"/>
      <w:r w:rsidRPr="00B36F24">
        <w:t>Projektový manažment</w:t>
      </w:r>
      <w:bookmarkEnd w:id="13"/>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V rámci projektového riadenia sa požaduje použitie metodiky Prince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autorizácia vytvorených elektronických záznamov v súlade s eIDAS (KEP aj KEPe),</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r>
        <w:t>správoplatnenie rozhodnutia (ASICe, obsahujúci doložku právoplatnosti a vykonateľnosti spoločne autorizovanú s pôvodným autorizovaným rozhodnutím).</w:t>
      </w:r>
    </w:p>
    <w:p w14:paraId="1F0A9314" w14:textId="77777777" w:rsidR="00DE3A41" w:rsidRDefault="00DE3A41" w:rsidP="00DE3A41">
      <w:pPr>
        <w:pStyle w:val="Heading1"/>
      </w:pPr>
      <w:bookmarkStart w:id="14" w:name="_Integračná_platforma"/>
      <w:bookmarkEnd w:id="14"/>
      <w:r>
        <w:t>Integračná platforma</w:t>
      </w:r>
    </w:p>
    <w:p w14:paraId="73B93829" w14:textId="77777777" w:rsidR="00DE3A41" w:rsidRDefault="00DE3A41" w:rsidP="00DE3A41">
      <w:pPr>
        <w:pStyle w:val="Heading2"/>
      </w:pPr>
      <w:r>
        <w:t>Popis aktuálneho stavu (As-is)</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r>
        <w:t>Governmentu.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r>
        <w:t xml:space="preserve">eDesk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elektronické formuláre eSlužieb.</w:t>
      </w:r>
    </w:p>
    <w:p w14:paraId="7C3F91E2" w14:textId="77777777" w:rsidR="00DE3A41" w:rsidRDefault="00DE3A41" w:rsidP="00AA663C">
      <w:pPr>
        <w:jc w:val="both"/>
      </w:pPr>
      <w:r>
        <w:t>Na riadenie práce medzi zamestnancami nie je integračná platforma využívaná, workflow zabezpečuje registratúrny systém.</w:t>
      </w:r>
    </w:p>
    <w:p w14:paraId="2DCC7BDF" w14:textId="77777777" w:rsidR="00DE3A41" w:rsidRPr="009358DA" w:rsidRDefault="00DE3A41" w:rsidP="00DE3A41">
      <w:r>
        <w:t xml:space="preserve">Aktuálne použitý framework: </w:t>
      </w:r>
      <w:r w:rsidRPr="009358DA">
        <w:t>Integračná platforma - ITGovSuite</w:t>
      </w:r>
    </w:p>
    <w:p w14:paraId="18B8DBBA" w14:textId="44B4F679" w:rsidR="00DE3A41" w:rsidRDefault="00DE3A41" w:rsidP="00DE3A41">
      <w:pPr>
        <w:jc w:val="both"/>
      </w:pPr>
      <w:r w:rsidRPr="009358DA">
        <w:t>Integračná platforma ITGovSuite predstavuje integračný middleware typu MOM (message oriented middleware),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routovanie správ a transformáciu správ ako sú MessageRouter, PayloadTypeRouter, RecipientListRouter, XPathRouter, Splitter, content enricher, message translator.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medzimodulovej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eDesk schránky inštitúcie BBSK a jej zápis do registratúry Fabasoft.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Fabasoft a ÚPVS CEP. </w:t>
      </w:r>
    </w:p>
    <w:p w14:paraId="5EFD6D91" w14:textId="77777777" w:rsidR="00DE3A41" w:rsidRDefault="00DE3A41" w:rsidP="00DE3A41">
      <w:pPr>
        <w:jc w:val="both"/>
      </w:pPr>
      <w:r w:rsidRPr="009358DA">
        <w:t>Integračná platforma poskytuje aj integračné rozhrania pre služby zaručenej konverzie poskytované od IOMO, tieto sa používajú v rámci integračných procesov ktoré sú prepojené na registratúru Fabasoft.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G2G async service</w:t>
      </w:r>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MEF Sync services</w:t>
      </w:r>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MEF subscriber</w:t>
      </w:r>
    </w:p>
    <w:p w14:paraId="100D05C7" w14:textId="77777777" w:rsidR="00DE3A41" w:rsidRPr="001B7761" w:rsidRDefault="00DE3A41" w:rsidP="00DE3A41">
      <w:pPr>
        <w:pStyle w:val="ListParagraph"/>
        <w:numPr>
          <w:ilvl w:val="0"/>
          <w:numId w:val="70"/>
        </w:numPr>
        <w:spacing w:line="276" w:lineRule="auto"/>
        <w:jc w:val="both"/>
      </w:pPr>
      <w:r w:rsidRPr="001B7761">
        <w:rPr>
          <w:rFonts w:cs="Calibri"/>
        </w:rPr>
        <w:t>eNotify</w:t>
      </w:r>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t>IAM sync services</w:t>
      </w:r>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MED services</w:t>
      </w:r>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CEP sync services</w:t>
      </w:r>
    </w:p>
    <w:p w14:paraId="4FE4D50A" w14:textId="77777777" w:rsidR="00DE3A41" w:rsidRPr="001B7761" w:rsidRDefault="00DE3A41" w:rsidP="00DE3A41">
      <w:pPr>
        <w:pStyle w:val="ListParagraph"/>
        <w:numPr>
          <w:ilvl w:val="0"/>
          <w:numId w:val="70"/>
        </w:numPr>
        <w:spacing w:line="276" w:lineRule="auto"/>
        <w:jc w:val="both"/>
      </w:pPr>
      <w:r w:rsidRPr="001B7761">
        <w:rPr>
          <w:rFonts w:cs="Calibri"/>
        </w:rPr>
        <w:t>eDesk sync services</w:t>
      </w:r>
    </w:p>
    <w:p w14:paraId="18CDAE1D" w14:textId="77777777" w:rsidR="00DE3A41" w:rsidRPr="001B7761" w:rsidRDefault="00DE3A41" w:rsidP="00DE3A41">
      <w:pPr>
        <w:pStyle w:val="ListParagraph"/>
        <w:numPr>
          <w:ilvl w:val="0"/>
          <w:numId w:val="70"/>
        </w:numPr>
        <w:spacing w:line="276" w:lineRule="auto"/>
        <w:jc w:val="both"/>
      </w:pPr>
      <w:r w:rsidRPr="001B7761">
        <w:rPr>
          <w:rFonts w:cs="Calibri"/>
        </w:rPr>
        <w:t>eDesk lookup service</w:t>
      </w:r>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IS Fabasoft</w:t>
      </w:r>
    </w:p>
    <w:p w14:paraId="1BC15C06" w14:textId="77777777" w:rsidR="00DE3A41" w:rsidRPr="001B7761" w:rsidRDefault="00DE3A41" w:rsidP="00DE3A41">
      <w:pPr>
        <w:spacing w:line="276" w:lineRule="auto"/>
        <w:jc w:val="both"/>
      </w:pPr>
      <w:r w:rsidRPr="001B7761">
        <w:rPr>
          <w:rFonts w:cs="Calibri"/>
          <w:b/>
          <w:bCs/>
          <w:u w:val="single"/>
        </w:rPr>
        <w:t>Integračné rozhranie IS Fabasoft (UWS)</w:t>
      </w:r>
    </w:p>
    <w:p w14:paraId="63F405E1" w14:textId="77777777" w:rsidR="00DE3A41" w:rsidRPr="001B7761" w:rsidRDefault="00DE3A41" w:rsidP="00DE3A41">
      <w:pPr>
        <w:spacing w:line="276" w:lineRule="auto"/>
        <w:jc w:val="both"/>
      </w:pPr>
      <w:r w:rsidRPr="001B7761">
        <w:rPr>
          <w:rFonts w:cs="Calibri"/>
        </w:rPr>
        <w:t>Pre potreby integrácií poskytuje IS Fabasoft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IS Fabasoft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Integračné rozhranie poskytuje referenčné údaje o právnických a fyzických osobách pre ostatné systémy, z lokálneho registra vytvoreného v IS Fabasofte.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Na zabezpečenie týchto činností slúži softvérový komponent Register osôb implementovaný v rámci integrovaného IS Fabasoft.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Integračné rozhranie IS Fabasoft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IS Fabasoft prostredníctvom integrácie využíva služby CEP ÚPVS, pre potreby podpisovania dokumentov, prácu s časovými pečiatkami, overovania elektronických podpisov, a pre potreby sťahovania podaní z eDesk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IS Fabasoft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t>Popis budúceho stavu (to-be)</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integrácia na modul eDesk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podpisovanie  KEPe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(to-be),</w:t>
      </w:r>
    </w:p>
    <w:p w14:paraId="7579A020" w14:textId="6630B4A8" w:rsidR="00DE3A41" w:rsidRDefault="00DE3A41" w:rsidP="00DE3A41">
      <w:pPr>
        <w:pStyle w:val="ListParagraph"/>
        <w:numPr>
          <w:ilvl w:val="0"/>
          <w:numId w:val="70"/>
        </w:numPr>
        <w:jc w:val="both"/>
      </w:pPr>
      <w:r>
        <w:t xml:space="preserve">integrácia na centrálne služby a registre RPO, RA, RFO, RT FO prostredníctvom integrácie na IS CSRÚ tam, kde to je možné. V opačnom prípade integrácia priamo na príslušný register (detaily v časti Registratúra/Popis budúceho stavu (to-be);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(to-be),</w:t>
      </w:r>
    </w:p>
    <w:p w14:paraId="7B08257C" w14:textId="6C1BB655" w:rsidR="00DE3A41" w:rsidRDefault="00DE3A41" w:rsidP="00DE3A41">
      <w:pPr>
        <w:pStyle w:val="ListParagraph"/>
        <w:numPr>
          <w:ilvl w:val="0"/>
          <w:numId w:val="70"/>
        </w:numPr>
        <w:jc w:val="both"/>
      </w:pPr>
      <w:r>
        <w:t>Integrácia na ePodací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middleware typu MOM (message oriented middleware),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r w:rsidR="00653E90">
        <w:t>OvZP</w:t>
      </w:r>
      <w:r>
        <w:t xml:space="preserve">. </w:t>
      </w:r>
      <w:r w:rsidR="00F6111F">
        <w:t>Objednávateľ p</w:t>
      </w:r>
      <w:r>
        <w:t xml:space="preserve">redpokladá, že bude slúžiť pre </w:t>
      </w:r>
      <w:r w:rsidR="00F6111F">
        <w:t>Ú</w:t>
      </w:r>
      <w:r>
        <w:t>rad</w:t>
      </w:r>
      <w:r w:rsidR="00F6111F">
        <w:t xml:space="preserve"> BBSk, ako</w:t>
      </w:r>
      <w:r>
        <w:t xml:space="preserve"> aj</w:t>
      </w:r>
      <w:r w:rsidR="00F6111F">
        <w:t xml:space="preserve"> pre</w:t>
      </w:r>
      <w:r>
        <w:t xml:space="preserve"> OvZP ako jeden centrálny integračný bod na externé systémy. Pritom OvZP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(as-is)</w:t>
      </w:r>
    </w:p>
    <w:p w14:paraId="563D61A8" w14:textId="77777777" w:rsidR="00DE3A41" w:rsidRDefault="00DE3A41" w:rsidP="00DE3A41">
      <w:pPr>
        <w:jc w:val="both"/>
      </w:pPr>
      <w:r>
        <w:t>Úrad BBSK využíva systém na správu registratúry Fabasoft eGov-Suite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skeny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Aktuálne použité licencie: Fabasoft eGov-Suite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r>
        <w:t>OVzP, 70 ks BBRSC.</w:t>
      </w:r>
    </w:p>
    <w:p w14:paraId="542C5912" w14:textId="77777777" w:rsidR="00DE3A41" w:rsidRDefault="00DE3A41" w:rsidP="00DE3A41">
      <w:pPr>
        <w:pStyle w:val="Heading2"/>
      </w:pPr>
      <w:r>
        <w:t>Popis budúceho stavu (to-be)</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r>
        <w:t>responzívny dizajn (možnosť práce aj na mobilných zariadeniach),</w:t>
      </w:r>
    </w:p>
    <w:p w14:paraId="49A90056" w14:textId="5A81B35A" w:rsidR="00DE3A41" w:rsidRDefault="00DE3A41" w:rsidP="00DE3A41">
      <w:pPr>
        <w:pStyle w:val="ListParagraph"/>
        <w:numPr>
          <w:ilvl w:val="0"/>
          <w:numId w:val="70"/>
        </w:numPr>
      </w:pPr>
      <w:r>
        <w:t>tzv. tenký klient – prístup zo všetkých moderných internetových prehliadačov (Chrome, Edge,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(Active Directory resp. Azure AD resp. MS Entra)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žérskych reportov; API rozhranie resp. reporting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r>
        <w:t xml:space="preserve">predvypĺňanie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r w:rsidR="0067480A">
        <w:t>OvZP</w:t>
      </w:r>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správoplatnenie,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ePodací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uchovávanie originálneho elektronického záznamu (napr. SkTalk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eDesk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r>
        <w:t xml:space="preserve">predvypĺňanie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správoplatnení rozhodnutia opakované odosielanie adresátovi a adresátom na vedomie, </w:t>
      </w:r>
    </w:p>
    <w:p w14:paraId="29FC2EA6" w14:textId="77777777" w:rsidR="00DE3A41" w:rsidRDefault="00DE3A41" w:rsidP="00AA663C">
      <w:pPr>
        <w:pStyle w:val="ListParagraph"/>
        <w:numPr>
          <w:ilvl w:val="1"/>
          <w:numId w:val="70"/>
        </w:numPr>
        <w:jc w:val="both"/>
      </w:pPr>
      <w:r>
        <w:t xml:space="preserve">správoplatnenie elektronického rozhodnutia podľa platnej legislatívy (pôvodné podpísané rozhodnutie podpísané spolu s doložkou právoplatnosti a vykonateľnosti podľa štandardu eIDAS),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r>
        <w:t xml:space="preserve">zneplatnenie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zobrazenie/prevzatie celej SkTalk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OvZP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e-Governmentu</w:t>
      </w:r>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e-Governmente)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STN EN ISO 216 Písací papier a niektoré druhy tlačovín. Orezané formáty. Rady A a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r>
        <w:t>Logotypov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OvZP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Zaškolenie tzv. power users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Preškolenie tzv. power users a administrátorov RIS pri každej významnej zmene.</w:t>
      </w:r>
    </w:p>
    <w:p w14:paraId="529E0E9E" w14:textId="4AA1D8C7" w:rsidR="00DE3A41" w:rsidRDefault="00DE3A41" w:rsidP="00DE3A41">
      <w:pPr>
        <w:pStyle w:val="Heading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r w:rsidR="00DE3A41" w:rsidRPr="002C1D0F">
        <w:rPr>
          <w:rFonts w:cstheme="minorHAnsi"/>
        </w:rPr>
        <w:t>cloude počas celej doby platnosti Zmluvy. Je povinnosťou Poskytovateľa, aby cloud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Failure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cloude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Poskytovateľ je povinný vyvíjať úsilie, aby všetky dáta Objednávateľa umiestené v cloude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Objednávateľ požaduje implementovať monitoring RIS do monitorovacieho systému Zabbix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Hot-line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5" w:name="_Toc46857250"/>
      <w:r w:rsidRPr="00CC72EB">
        <w:t>Servisná podpora</w:t>
      </w:r>
      <w:bookmarkEnd w:id="15"/>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r w:rsidR="009A6D3B">
        <w:t>incidetntu</w:t>
      </w:r>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6" w:name="_Toc46857251"/>
      <w:r w:rsidRPr="0049792C">
        <w:t>Technologická podpora</w:t>
      </w:r>
      <w:bookmarkEnd w:id="16"/>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maintenance)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človekohodín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človekohodín, budú nevyčerpané človekohodiny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človek</w:t>
      </w:r>
      <w:r w:rsidR="00F869B0">
        <w:t>o</w:t>
      </w:r>
      <w:r w:rsidR="00640E2F">
        <w:t>hodín</w:t>
      </w:r>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7" w:name="_Exit_plán"/>
      <w:bookmarkEnd w:id="17"/>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publikovanie dát ako Opendata,</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r>
        <w:t>zápožičky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V prípade, ak Poskytovateľom odhadovaná pr</w:t>
      </w:r>
      <w:r w:rsidR="004A0A76">
        <w:rPr>
          <w:rFonts w:cstheme="minorBidi"/>
        </w:rPr>
        <w:t>a</w:t>
      </w:r>
      <w:r w:rsidRPr="5029C2BF">
        <w:rPr>
          <w:rFonts w:cstheme="minorBidi"/>
        </w:rPr>
        <w:t>cnosť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8" w:name="_Exit_služba"/>
      <w:bookmarkEnd w:id="18"/>
      <w:r>
        <w:t>Exit služb</w:t>
      </w:r>
      <w:r w:rsidR="006B7210">
        <w:t>y</w:t>
      </w:r>
    </w:p>
    <w:p w14:paraId="2C9E60C0" w14:textId="1509B522" w:rsidR="00DE3A41" w:rsidRDefault="00DE3A41" w:rsidP="00DE3A41">
      <w:r>
        <w:t>V rámci Exit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referencovateľné,</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se Exit služieb</w:t>
      </w:r>
      <w:r w:rsidR="000F3790">
        <w:t xml:space="preserve"> najneskôr ku dňu zániku Zmluvy.</w:t>
      </w:r>
    </w:p>
    <w:p w14:paraId="60FE0182" w14:textId="38DC1FDA" w:rsidR="00DE3A41" w:rsidRPr="00565DB4" w:rsidRDefault="00DE3A41" w:rsidP="00AA663C">
      <w:pPr>
        <w:jc w:val="both"/>
      </w:pPr>
      <w:r>
        <w:t>Rozsah služby Exit služb</w:t>
      </w:r>
      <w:r w:rsidR="00284CBD">
        <w:t>y</w:t>
      </w:r>
      <w:r>
        <w:t xml:space="preserve"> je maximálne 100 človekohodín</w:t>
      </w:r>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11"/>
    <w:p w14:paraId="2F58E8B4" w14:textId="5FBC02D5" w:rsidR="008B71FB" w:rsidRPr="00DC5E75" w:rsidRDefault="008B71FB" w:rsidP="001B5290">
      <w:pPr>
        <w:pStyle w:val="Heading1"/>
      </w:pPr>
      <w:r w:rsidRPr="00DC5E75">
        <w:t>Príloha č.2 – Cenová kalkulácia</w:t>
      </w:r>
      <w:r w:rsidR="00034BC4" w:rsidRPr="00DC5E75">
        <w:t xml:space="preserve"> (návrh na plnenie kritérií)</w:t>
      </w:r>
    </w:p>
    <w:tbl>
      <w:tblPr>
        <w:tblStyle w:val="TableGrid"/>
        <w:tblW w:w="9493" w:type="dxa"/>
        <w:tblLook w:val="04A0" w:firstRow="1" w:lastRow="0" w:firstColumn="1" w:lastColumn="0" w:noHBand="0" w:noVBand="1"/>
      </w:tblPr>
      <w:tblGrid>
        <w:gridCol w:w="836"/>
        <w:gridCol w:w="2253"/>
        <w:gridCol w:w="1520"/>
        <w:gridCol w:w="861"/>
        <w:gridCol w:w="1806"/>
        <w:gridCol w:w="2217"/>
      </w:tblGrid>
      <w:tr w:rsidR="00DC5E75" w:rsidRPr="00DC5E75" w14:paraId="58F36310" w14:textId="77777777" w:rsidTr="00B96D32">
        <w:trPr>
          <w:trHeight w:val="805"/>
        </w:trPr>
        <w:tc>
          <w:tcPr>
            <w:tcW w:w="836" w:type="dxa"/>
            <w:noWrap/>
            <w:hideMark/>
          </w:tcPr>
          <w:p w14:paraId="36FCA698"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Položka</w:t>
            </w:r>
          </w:p>
        </w:tc>
        <w:tc>
          <w:tcPr>
            <w:tcW w:w="2253" w:type="dxa"/>
            <w:noWrap/>
            <w:hideMark/>
          </w:tcPr>
          <w:p w14:paraId="158FE129"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Názov</w:t>
            </w:r>
          </w:p>
        </w:tc>
        <w:tc>
          <w:tcPr>
            <w:tcW w:w="1520" w:type="dxa"/>
            <w:hideMark/>
          </w:tcPr>
          <w:p w14:paraId="4BBDAC13"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Merná jednotka</w:t>
            </w:r>
          </w:p>
        </w:tc>
        <w:tc>
          <w:tcPr>
            <w:tcW w:w="861" w:type="dxa"/>
            <w:noWrap/>
            <w:hideMark/>
          </w:tcPr>
          <w:p w14:paraId="467F27FF"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Počet</w:t>
            </w:r>
          </w:p>
        </w:tc>
        <w:tc>
          <w:tcPr>
            <w:tcW w:w="1806" w:type="dxa"/>
            <w:hideMark/>
          </w:tcPr>
          <w:p w14:paraId="172E4C56"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Jednotková cena bez DPH</w:t>
            </w:r>
          </w:p>
        </w:tc>
        <w:tc>
          <w:tcPr>
            <w:tcW w:w="2217" w:type="dxa"/>
            <w:hideMark/>
          </w:tcPr>
          <w:p w14:paraId="66334BE4"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Cena spolu bez DPH</w:t>
            </w:r>
          </w:p>
        </w:tc>
      </w:tr>
      <w:tr w:rsidR="00DC5E75" w:rsidRPr="00DC5E75" w14:paraId="4AEE8637" w14:textId="77777777" w:rsidTr="00B96D32">
        <w:trPr>
          <w:trHeight w:val="492"/>
        </w:trPr>
        <w:tc>
          <w:tcPr>
            <w:tcW w:w="836" w:type="dxa"/>
            <w:noWrap/>
            <w:hideMark/>
          </w:tcPr>
          <w:p w14:paraId="0C2C329C"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1</w:t>
            </w:r>
          </w:p>
        </w:tc>
        <w:tc>
          <w:tcPr>
            <w:tcW w:w="2253" w:type="dxa"/>
            <w:hideMark/>
          </w:tcPr>
          <w:p w14:paraId="169E3D5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sz w:val="20"/>
                <w:szCs w:val="20"/>
              </w:rPr>
              <w:t>Dielo (vrátane min. počtu licencií uvedených v zmluve)</w:t>
            </w:r>
            <w:r w:rsidRPr="00DC5E75">
              <w:rPr>
                <w:rFonts w:asciiTheme="minorHAnsi" w:hAnsiTheme="minorHAnsi" w:cs="Arial"/>
                <w:b/>
                <w:bCs/>
              </w:rPr>
              <w:br/>
            </w:r>
            <w:r w:rsidRPr="00DC5E75">
              <w:rPr>
                <w:rFonts w:asciiTheme="minorHAnsi" w:hAnsiTheme="minorHAnsi" w:cs="Arial"/>
                <w:sz w:val="16"/>
                <w:szCs w:val="16"/>
              </w:rPr>
              <w:t>Zmluva Čl. IV. Bod 1. a str. 29 (Registratúra)</w:t>
            </w:r>
          </w:p>
        </w:tc>
        <w:tc>
          <w:tcPr>
            <w:tcW w:w="1520" w:type="dxa"/>
            <w:hideMark/>
          </w:tcPr>
          <w:p w14:paraId="4FA36AE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4B48D9E9"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hideMark/>
          </w:tcPr>
          <w:p w14:paraId="44DCB01D"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hideMark/>
          </w:tcPr>
          <w:p w14:paraId="615D14A9"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BFB0259" w14:textId="77777777" w:rsidTr="00B96D32">
        <w:trPr>
          <w:trHeight w:val="300"/>
        </w:trPr>
        <w:tc>
          <w:tcPr>
            <w:tcW w:w="3089" w:type="dxa"/>
            <w:gridSpan w:val="2"/>
            <w:hideMark/>
          </w:tcPr>
          <w:p w14:paraId="3B9FB84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Cenová ponuka na dodanie diela</w:t>
            </w:r>
          </w:p>
        </w:tc>
        <w:tc>
          <w:tcPr>
            <w:tcW w:w="1520" w:type="dxa"/>
            <w:hideMark/>
          </w:tcPr>
          <w:p w14:paraId="796C925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55380A8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61F97400"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hideMark/>
          </w:tcPr>
          <w:p w14:paraId="39E4075B"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r w:rsidR="00DC5E75" w:rsidRPr="00DC5E75" w14:paraId="136FD0F7" w14:textId="77777777" w:rsidTr="00B96D32">
        <w:trPr>
          <w:trHeight w:val="312"/>
        </w:trPr>
        <w:tc>
          <w:tcPr>
            <w:tcW w:w="836" w:type="dxa"/>
            <w:hideMark/>
          </w:tcPr>
          <w:p w14:paraId="67961DCB"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SLA</w:t>
            </w:r>
          </w:p>
        </w:tc>
        <w:tc>
          <w:tcPr>
            <w:tcW w:w="2253" w:type="dxa"/>
            <w:hideMark/>
          </w:tcPr>
          <w:p w14:paraId="0501F28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1520" w:type="dxa"/>
            <w:hideMark/>
          </w:tcPr>
          <w:p w14:paraId="36C2E417"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6DB50A2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1806" w:type="dxa"/>
            <w:noWrap/>
            <w:hideMark/>
          </w:tcPr>
          <w:p w14:paraId="5553D5D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2217" w:type="dxa"/>
            <w:noWrap/>
            <w:hideMark/>
          </w:tcPr>
          <w:p w14:paraId="0C402248"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r>
      <w:tr w:rsidR="00DC5E75" w:rsidRPr="00DC5E75" w14:paraId="2034BD8A" w14:textId="77777777" w:rsidTr="00B96D32">
        <w:trPr>
          <w:trHeight w:val="720"/>
        </w:trPr>
        <w:tc>
          <w:tcPr>
            <w:tcW w:w="836" w:type="dxa"/>
            <w:noWrap/>
            <w:hideMark/>
          </w:tcPr>
          <w:p w14:paraId="43B05F0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2</w:t>
            </w:r>
          </w:p>
        </w:tc>
        <w:tc>
          <w:tcPr>
            <w:tcW w:w="2253" w:type="dxa"/>
            <w:hideMark/>
          </w:tcPr>
          <w:p w14:paraId="603AA4CC"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Školenie</w:t>
            </w:r>
            <w:r w:rsidRPr="00DC5E75">
              <w:rPr>
                <w:rFonts w:asciiTheme="minorHAnsi" w:hAnsiTheme="minorHAnsi" w:cs="Arial"/>
                <w:b/>
                <w:bCs/>
                <w:sz w:val="18"/>
                <w:szCs w:val="18"/>
              </w:rPr>
              <w:br/>
            </w:r>
            <w:r w:rsidRPr="00DC5E75">
              <w:rPr>
                <w:rFonts w:asciiTheme="minorHAnsi" w:hAnsiTheme="minorHAnsi" w:cs="Arial"/>
                <w:sz w:val="18"/>
                <w:szCs w:val="18"/>
              </w:rPr>
              <w:t>Zmluva Čl. IV. Bod 2. a str. 36 (Zabezpečenie služieb (SLA) - Školenie)</w:t>
            </w:r>
          </w:p>
        </w:tc>
        <w:tc>
          <w:tcPr>
            <w:tcW w:w="1520" w:type="dxa"/>
            <w:hideMark/>
          </w:tcPr>
          <w:p w14:paraId="44D11F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25BAA81E"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tcPr>
          <w:p w14:paraId="04D04B50"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5E5E952"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C9E58FD" w14:textId="77777777" w:rsidTr="00B96D32">
        <w:trPr>
          <w:trHeight w:val="720"/>
        </w:trPr>
        <w:tc>
          <w:tcPr>
            <w:tcW w:w="836" w:type="dxa"/>
            <w:noWrap/>
            <w:hideMark/>
          </w:tcPr>
          <w:p w14:paraId="22582D4D"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3</w:t>
            </w:r>
          </w:p>
        </w:tc>
        <w:tc>
          <w:tcPr>
            <w:tcW w:w="2253" w:type="dxa"/>
            <w:hideMark/>
          </w:tcPr>
          <w:p w14:paraId="2BCEB878"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Prevádzka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36 (Zabezpečenie služieb (SLA) - Prevádzka)</w:t>
            </w:r>
          </w:p>
        </w:tc>
        <w:tc>
          <w:tcPr>
            <w:tcW w:w="1520" w:type="dxa"/>
            <w:hideMark/>
          </w:tcPr>
          <w:p w14:paraId="348790B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4FC85E8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54DF3F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13A3591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5ECFAC44" w14:textId="77777777" w:rsidTr="00B96D32">
        <w:trPr>
          <w:trHeight w:val="720"/>
        </w:trPr>
        <w:tc>
          <w:tcPr>
            <w:tcW w:w="836" w:type="dxa"/>
            <w:noWrap/>
            <w:hideMark/>
          </w:tcPr>
          <w:p w14:paraId="61C8EF9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4</w:t>
            </w:r>
          </w:p>
        </w:tc>
        <w:tc>
          <w:tcPr>
            <w:tcW w:w="2253" w:type="dxa"/>
            <w:hideMark/>
          </w:tcPr>
          <w:p w14:paraId="749CAD00"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37 (Zabezpečenie služieb (SLA) - Prevádzka)</w:t>
            </w:r>
          </w:p>
        </w:tc>
        <w:tc>
          <w:tcPr>
            <w:tcW w:w="1520" w:type="dxa"/>
            <w:hideMark/>
          </w:tcPr>
          <w:p w14:paraId="39A5D2D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29961CB5"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7ED811BC"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22D4C2A"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4EAA52FB" w14:textId="77777777" w:rsidTr="00B96D32">
        <w:trPr>
          <w:trHeight w:val="720"/>
        </w:trPr>
        <w:tc>
          <w:tcPr>
            <w:tcW w:w="836" w:type="dxa"/>
            <w:noWrap/>
            <w:hideMark/>
          </w:tcPr>
          <w:p w14:paraId="601091B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5</w:t>
            </w:r>
          </w:p>
        </w:tc>
        <w:tc>
          <w:tcPr>
            <w:tcW w:w="2253" w:type="dxa"/>
            <w:hideMark/>
          </w:tcPr>
          <w:p w14:paraId="76B2A0E5"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 nad rámec mesačného paušálu</w:t>
            </w:r>
            <w:r w:rsidRPr="00DC5E75">
              <w:rPr>
                <w:rFonts w:asciiTheme="minorHAnsi" w:hAnsiTheme="minorHAnsi" w:cs="Arial"/>
                <w:b/>
                <w:bCs/>
                <w:sz w:val="18"/>
                <w:szCs w:val="18"/>
              </w:rPr>
              <w:br/>
            </w:r>
            <w:r w:rsidRPr="00DC5E75">
              <w:rPr>
                <w:rFonts w:asciiTheme="minorHAnsi" w:hAnsiTheme="minorHAnsi" w:cs="Arial"/>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človekohodina</w:t>
            </w:r>
          </w:p>
        </w:tc>
        <w:tc>
          <w:tcPr>
            <w:tcW w:w="861" w:type="dxa"/>
            <w:hideMark/>
          </w:tcPr>
          <w:p w14:paraId="739822A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864</w:t>
            </w:r>
          </w:p>
        </w:tc>
        <w:tc>
          <w:tcPr>
            <w:tcW w:w="1806" w:type="dxa"/>
            <w:noWrap/>
          </w:tcPr>
          <w:p w14:paraId="2E772C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2D025CA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7B9B7C" w14:textId="77777777" w:rsidTr="00B96D32">
        <w:trPr>
          <w:trHeight w:val="720"/>
        </w:trPr>
        <w:tc>
          <w:tcPr>
            <w:tcW w:w="836" w:type="dxa"/>
            <w:noWrap/>
            <w:hideMark/>
          </w:tcPr>
          <w:p w14:paraId="773E43D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6</w:t>
            </w:r>
          </w:p>
        </w:tc>
        <w:tc>
          <w:tcPr>
            <w:tcW w:w="2253" w:type="dxa"/>
            <w:hideMark/>
          </w:tcPr>
          <w:p w14:paraId="2ABE8FF0" w14:textId="77777777" w:rsidR="00DE5461" w:rsidRPr="00DC5E75" w:rsidRDefault="00DE5461" w:rsidP="00B96D32">
            <w:pPr>
              <w:tabs>
                <w:tab w:val="left" w:pos="5529"/>
              </w:tabs>
              <w:spacing w:line="264" w:lineRule="auto"/>
              <w:ind w:left="11" w:right="-1" w:hanging="11"/>
              <w:rPr>
                <w:rFonts w:asciiTheme="minorHAnsi" w:hAnsiTheme="minorHAnsi" w:cs="Arial"/>
                <w:b/>
                <w:bCs/>
                <w:sz w:val="20"/>
                <w:szCs w:val="20"/>
              </w:rPr>
            </w:pPr>
            <w:r w:rsidRPr="00DC5E75">
              <w:rPr>
                <w:rFonts w:asciiTheme="minorHAnsi" w:hAnsiTheme="minorHAnsi" w:cs="Arial"/>
                <w:b/>
                <w:bCs/>
                <w:sz w:val="20"/>
                <w:szCs w:val="20"/>
              </w:rPr>
              <w:t>Poradenstvo a rozvoj</w:t>
            </w:r>
            <w:r w:rsidRPr="00DC5E75">
              <w:rPr>
                <w:rFonts w:asciiTheme="minorHAnsi" w:hAnsiTheme="minorHAnsi" w:cs="Arial"/>
                <w:b/>
                <w:bCs/>
                <w:sz w:val="20"/>
                <w:szCs w:val="20"/>
              </w:rPr>
              <w:br/>
            </w:r>
            <w:r w:rsidRPr="00DC5E75">
              <w:rPr>
                <w:rFonts w:asciiTheme="minorHAnsi" w:hAnsiTheme="minorHAnsi" w:cs="Arial"/>
                <w:sz w:val="18"/>
                <w:szCs w:val="18"/>
              </w:rPr>
              <w:t>Zmluva Čl. IV. Bod 5. a str. 42 (Zabezpečenie služieb (SLA) - Poradenstvo a rozvoj)</w:t>
            </w:r>
          </w:p>
        </w:tc>
        <w:tc>
          <w:tcPr>
            <w:tcW w:w="1520" w:type="dxa"/>
            <w:hideMark/>
          </w:tcPr>
          <w:p w14:paraId="6BA4C0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človekodeň</w:t>
            </w:r>
          </w:p>
        </w:tc>
        <w:tc>
          <w:tcPr>
            <w:tcW w:w="861" w:type="dxa"/>
            <w:hideMark/>
          </w:tcPr>
          <w:p w14:paraId="2A7718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300</w:t>
            </w:r>
          </w:p>
        </w:tc>
        <w:tc>
          <w:tcPr>
            <w:tcW w:w="1806" w:type="dxa"/>
            <w:noWrap/>
          </w:tcPr>
          <w:p w14:paraId="35F0C6C5"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71063DB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002A784" w14:textId="77777777" w:rsidTr="00B96D32">
        <w:trPr>
          <w:trHeight w:val="480"/>
        </w:trPr>
        <w:tc>
          <w:tcPr>
            <w:tcW w:w="836" w:type="dxa"/>
            <w:noWrap/>
            <w:hideMark/>
          </w:tcPr>
          <w:p w14:paraId="7C08A87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7</w:t>
            </w:r>
          </w:p>
        </w:tc>
        <w:tc>
          <w:tcPr>
            <w:tcW w:w="2253" w:type="dxa"/>
            <w:hideMark/>
          </w:tcPr>
          <w:p w14:paraId="7333641F"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Exit služby</w:t>
            </w:r>
            <w:r w:rsidRPr="00DC5E75">
              <w:rPr>
                <w:rFonts w:asciiTheme="minorHAnsi" w:hAnsiTheme="minorHAnsi" w:cs="Arial"/>
                <w:b/>
                <w:bCs/>
                <w:sz w:val="18"/>
                <w:szCs w:val="18"/>
              </w:rPr>
              <w:br/>
            </w:r>
            <w:r w:rsidRPr="00DC5E75">
              <w:rPr>
                <w:rFonts w:asciiTheme="minorHAnsi" w:hAnsiTheme="minorHAnsi" w:cs="Arial"/>
                <w:sz w:val="18"/>
                <w:szCs w:val="18"/>
              </w:rPr>
              <w:t>Zmluva Čl. IV. Bod 6. a str. 43 (Exit služby)</w:t>
            </w:r>
          </w:p>
        </w:tc>
        <w:tc>
          <w:tcPr>
            <w:tcW w:w="1520" w:type="dxa"/>
            <w:hideMark/>
          </w:tcPr>
          <w:p w14:paraId="1594EE61"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človekohodina</w:t>
            </w:r>
          </w:p>
        </w:tc>
        <w:tc>
          <w:tcPr>
            <w:tcW w:w="861" w:type="dxa"/>
            <w:hideMark/>
          </w:tcPr>
          <w:p w14:paraId="0D89AF1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100</w:t>
            </w:r>
          </w:p>
        </w:tc>
        <w:tc>
          <w:tcPr>
            <w:tcW w:w="1806" w:type="dxa"/>
            <w:noWrap/>
          </w:tcPr>
          <w:p w14:paraId="760FEE5B"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5C381EC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6C1EB369" w14:textId="77777777" w:rsidTr="00B96D32">
        <w:trPr>
          <w:trHeight w:val="972"/>
        </w:trPr>
        <w:tc>
          <w:tcPr>
            <w:tcW w:w="836" w:type="dxa"/>
            <w:noWrap/>
            <w:hideMark/>
          </w:tcPr>
          <w:p w14:paraId="30E15543"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8</w:t>
            </w:r>
          </w:p>
        </w:tc>
        <w:tc>
          <w:tcPr>
            <w:tcW w:w="2253" w:type="dxa"/>
            <w:hideMark/>
          </w:tcPr>
          <w:p w14:paraId="4F90AACE" w14:textId="16C1ACB9" w:rsidR="00DE5461" w:rsidRPr="006C5B8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Predimplementačná podpora súčasného riešenia (predpoklad 5 mes.)</w:t>
            </w:r>
            <w:r w:rsidR="00DC5E75">
              <w:rPr>
                <w:rFonts w:asciiTheme="minorHAnsi" w:hAnsiTheme="minorHAnsi" w:cs="Arial"/>
                <w:b/>
                <w:bCs/>
                <w:sz w:val="20"/>
                <w:szCs w:val="20"/>
              </w:rPr>
              <w:t xml:space="preserve"> </w:t>
            </w:r>
            <w:r w:rsidRPr="00DC5E75">
              <w:rPr>
                <w:rFonts w:asciiTheme="minorHAnsi" w:hAnsiTheme="minorHAnsi" w:cs="Arial"/>
                <w:sz w:val="18"/>
                <w:szCs w:val="18"/>
              </w:rPr>
              <w:t>Podpora súčasného riešenia do doby nasadenie nového riešenia</w:t>
            </w:r>
            <w:r w:rsidR="00DC5E75">
              <w:rPr>
                <w:rFonts w:asciiTheme="minorHAnsi" w:hAnsiTheme="minorHAnsi" w:cs="Arial"/>
                <w:sz w:val="18"/>
                <w:szCs w:val="18"/>
              </w:rPr>
              <w:t xml:space="preserve">. </w:t>
            </w:r>
            <w:r w:rsidR="00DC5E75" w:rsidRPr="001E1A8A">
              <w:rPr>
                <w:rFonts w:asciiTheme="minorHAnsi" w:hAnsiTheme="minorHAnsi" w:cs="Arial"/>
                <w:sz w:val="18"/>
                <w:szCs w:val="18"/>
              </w:rPr>
              <w:t>.)</w:t>
            </w:r>
            <w:r w:rsidR="00DC5E75">
              <w:rPr>
                <w:rFonts w:asciiTheme="minorHAnsi" w:hAnsiTheme="minorHAnsi" w:cs="Arial"/>
                <w:sz w:val="18"/>
                <w:szCs w:val="18"/>
              </w:rPr>
              <w:t xml:space="preserve">. </w:t>
            </w:r>
            <w:r w:rsidR="00DC5E75" w:rsidRPr="001E1A8A">
              <w:rPr>
                <w:rFonts w:asciiTheme="minorHAnsi" w:hAnsiTheme="minorHAnsi" w:cs="Arial"/>
                <w:sz w:val="18"/>
                <w:szCs w:val="18"/>
              </w:rPr>
              <w:t xml:space="preserve">Podpora súčasného riešenia do doby nasadenie nového riešenia. Aktuálne používaný </w:t>
            </w:r>
            <w:r w:rsidR="00DC5E75" w:rsidRPr="006C5B85">
              <w:rPr>
                <w:rFonts w:asciiTheme="minorHAnsi" w:hAnsiTheme="minorHAnsi" w:cs="Arial"/>
                <w:sz w:val="18"/>
                <w:szCs w:val="18"/>
              </w:rPr>
              <w:t xml:space="preserve">registratúrny systém obstarávateľa je </w:t>
            </w:r>
            <w:proofErr w:type="spellStart"/>
            <w:r w:rsidR="00DC5E75" w:rsidRPr="006C5B85">
              <w:rPr>
                <w:rFonts w:asciiTheme="minorHAnsi" w:hAnsiTheme="minorHAnsi" w:cs="Arial"/>
                <w:sz w:val="18"/>
                <w:szCs w:val="18"/>
              </w:rPr>
              <w:t>Fabasoft</w:t>
            </w:r>
            <w:proofErr w:type="spellEnd"/>
            <w:r w:rsidR="00DC5E75" w:rsidRPr="006C5B85">
              <w:rPr>
                <w:rFonts w:asciiTheme="minorHAnsi" w:hAnsiTheme="minorHAnsi" w:cs="Arial"/>
                <w:sz w:val="18"/>
                <w:szCs w:val="18"/>
              </w:rPr>
              <w:t xml:space="preserve"> 2016</w:t>
            </w:r>
            <w:r w:rsidR="00E857F9" w:rsidRPr="006C5B85">
              <w:rPr>
                <w:rFonts w:asciiTheme="minorHAnsi" w:hAnsiTheme="minorHAnsi" w:cs="Arial"/>
                <w:sz w:val="18"/>
                <w:szCs w:val="18"/>
              </w:rPr>
              <w:t xml:space="preserve"> (Zmluva Čl. IV. Bod 7.)</w:t>
            </w:r>
          </w:p>
        </w:tc>
        <w:tc>
          <w:tcPr>
            <w:tcW w:w="1520" w:type="dxa"/>
            <w:noWrap/>
            <w:hideMark/>
          </w:tcPr>
          <w:p w14:paraId="7BF574E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noWrap/>
            <w:hideMark/>
          </w:tcPr>
          <w:p w14:paraId="1292BA7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5</w:t>
            </w:r>
          </w:p>
        </w:tc>
        <w:tc>
          <w:tcPr>
            <w:tcW w:w="1806" w:type="dxa"/>
            <w:noWrap/>
          </w:tcPr>
          <w:p w14:paraId="2208BE34"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475893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F5F210" w14:textId="77777777" w:rsidTr="00B96D32">
        <w:trPr>
          <w:trHeight w:val="300"/>
        </w:trPr>
        <w:tc>
          <w:tcPr>
            <w:tcW w:w="3089" w:type="dxa"/>
            <w:gridSpan w:val="2"/>
            <w:hideMark/>
          </w:tcPr>
          <w:p w14:paraId="70D5C39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Podpora po dodaní diela</w:t>
            </w:r>
          </w:p>
        </w:tc>
        <w:tc>
          <w:tcPr>
            <w:tcW w:w="1520" w:type="dxa"/>
            <w:hideMark/>
          </w:tcPr>
          <w:p w14:paraId="53BC9EC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0623A03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1FC7389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tcPr>
          <w:p w14:paraId="38D329C3"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bl>
    <w:p w14:paraId="4C70A3E0" w14:textId="77777777" w:rsidR="00A91BE0" w:rsidRPr="00DC5E75" w:rsidRDefault="00A91BE0">
      <w:pPr>
        <w:rPr>
          <w:rFonts w:asciiTheme="minorHAnsi" w:hAnsiTheme="minorHAnsi" w:cstheme="minorHAnsi"/>
          <w:b/>
        </w:rPr>
      </w:pPr>
      <w:r w:rsidRPr="00DC5E75">
        <w:rPr>
          <w:rFonts w:asciiTheme="minorHAnsi" w:hAnsiTheme="minorHAnsi" w:cstheme="minorHAnsi"/>
          <w:b/>
        </w:rPr>
        <w:br w:type="page"/>
      </w:r>
    </w:p>
    <w:p w14:paraId="4E4EAEB2" w14:textId="2D8777AC" w:rsidR="001714DF" w:rsidRPr="00A91BE0" w:rsidRDefault="00984395" w:rsidP="001B5290">
      <w:pPr>
        <w:pStyle w:val="Heading1"/>
      </w:pPr>
      <w:r w:rsidRPr="004D354F">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9" w:name="_8h9fh0c4ou5e" w:colFirst="0" w:colLast="0"/>
      <w:bookmarkStart w:id="20" w:name="_dpp80i22a8mo" w:colFirst="0" w:colLast="0"/>
      <w:bookmarkStart w:id="21" w:name="_gjdgxs" w:colFirst="0" w:colLast="0"/>
      <w:bookmarkStart w:id="22" w:name="_iq4n6qns96f4" w:colFirst="0" w:colLast="0"/>
      <w:bookmarkStart w:id="23" w:name="_1fob9te" w:colFirst="0" w:colLast="0"/>
      <w:bookmarkEnd w:id="19"/>
      <w:bookmarkEnd w:id="20"/>
      <w:bookmarkEnd w:id="21"/>
      <w:bookmarkEnd w:id="22"/>
      <w:bookmarkEnd w:id="23"/>
      <w:r w:rsidRPr="009746AB">
        <w:rPr>
          <w:lang w:eastAsia="sk-SK"/>
        </w:rPr>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Poskytujúca strana je oprávnená auditovať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t xml:space="preserve">Príloha č. </w:t>
      </w:r>
      <w:r w:rsidR="00A91576">
        <w:rPr>
          <w:noProof/>
        </w:rPr>
        <w:t>7</w:t>
      </w:r>
      <w:r w:rsidRPr="00330BF2">
        <w:rPr>
          <w:noProof/>
        </w:rPr>
        <w:t xml:space="preserve"> – </w:t>
      </w:r>
      <w:r w:rsidR="00E25655">
        <w:rPr>
          <w:noProof/>
        </w:rPr>
        <w:t>Zoznam organizácií</w:t>
      </w:r>
    </w:p>
    <w:p w14:paraId="4DD7428C" w14:textId="594F120E" w:rsidR="008D42FF" w:rsidRPr="0048754D" w:rsidRDefault="008D42FF" w:rsidP="0048754D"/>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3E35087D"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gen. M.R.Štefánika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J.Kármana</w:t>
            </w:r>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Kubínyho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 Kármana</w:t>
            </w:r>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M.Tompu</w:t>
            </w:r>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hvezdáreň a planetárium Maximiliána Hella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 Bánošom</w:t>
            </w:r>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Konzervatórium Jána Levoslava Bellu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Mikovíniho</w:t>
            </w:r>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Szakkőzépiskola</w:t>
            </w:r>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J.Kalinčiaka</w:t>
            </w:r>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pedagogická - Pedagógiai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stavebná Oskara Winklera - Winkler Oszkár Építöipari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 Němcovej</w:t>
            </w:r>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Generála Viesta</w:t>
            </w:r>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Martina Kukučína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 a agropotravinárska - Műszaki, Mezőgazdasági és Élelmiszeripari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 Kereskedelmi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 Mikszátha</w:t>
            </w:r>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Ivana Kraska - Ivan Krasko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Augusta Horislava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Kozáčeka</w:t>
            </w:r>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Františka Švantnera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Senium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Čemerica</w:t>
            </w:r>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Hriňovčan</w:t>
            </w:r>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Krivec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Libertas</w:t>
            </w:r>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Breza - Szociális Szolgáltatások Intézménye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Vepor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Rimava - Szociális Szolgáltatások Intézménye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Kirejevská</w:t>
            </w:r>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Tisovček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Bakulínyho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Femina - Szociális Szolgáltatások Intézménye Femina</w:t>
            </w:r>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Salustia - Szociális Szolgáltatások Intézménye Salustia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Kírť</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A.H.Škultétyho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Záhonok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Záhonok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Radmera</w:t>
            </w:r>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Default="00B125AF" w:rsidP="0048754D">
      <w:pPr>
        <w:jc w:val="both"/>
      </w:pPr>
    </w:p>
    <w:p w14:paraId="6B51BFAA" w14:textId="72957198" w:rsidR="002961A3" w:rsidRDefault="00A9136E" w:rsidP="0048754D">
      <w:pPr>
        <w:jc w:val="both"/>
      </w:pPr>
      <w:r>
        <w:t>Pozn. Poskytovateľ berie na vedomie, že zoznam organizácií</w:t>
      </w:r>
      <w:r w:rsidR="002F3132">
        <w:t xml:space="preserve"> (OvZP)</w:t>
      </w:r>
      <w:r>
        <w:t xml:space="preserve"> sa od septembra 2025 bude </w:t>
      </w:r>
      <w:r w:rsidR="002E588D">
        <w:t>meniť</w:t>
      </w:r>
      <w:r>
        <w:t>,</w:t>
      </w:r>
      <w:r w:rsidR="002E588D">
        <w:t xml:space="preserve"> </w:t>
      </w:r>
      <w:r>
        <w:t>keďže</w:t>
      </w:r>
      <w:r w:rsidR="002E588D">
        <w:t xml:space="preserve"> dochádza k</w:t>
      </w:r>
      <w:r w:rsidR="002F3132">
        <w:t> </w:t>
      </w:r>
      <w:r w:rsidR="002E588D">
        <w:t>zlučovaniu</w:t>
      </w:r>
      <w:r w:rsidR="002F3132">
        <w:t>/splynutiu</w:t>
      </w:r>
      <w:r w:rsidR="002E588D">
        <w:t xml:space="preserve"> stredných škôl (t.j. </w:t>
      </w:r>
      <w:r>
        <w:t>počet organizácií bude nižší</w:t>
      </w:r>
      <w:r w:rsidR="002E588D">
        <w:t>)</w:t>
      </w:r>
      <w:r>
        <w:t xml:space="preserve">. Objednávateľ </w:t>
      </w:r>
      <w:r w:rsidR="00786552">
        <w:t xml:space="preserve"> najneskôr do </w:t>
      </w:r>
      <w:r w:rsidR="0053409A">
        <w:t xml:space="preserve">30 dní od účinnosti </w:t>
      </w:r>
      <w:r w:rsidR="004660B4">
        <w:t>Z</w:t>
      </w:r>
      <w:r w:rsidR="0053409A">
        <w:t>mluvy</w:t>
      </w:r>
      <w:r w:rsidR="00E71036">
        <w:t xml:space="preserve"> predloží </w:t>
      </w:r>
      <w:r>
        <w:t>Poskytovateľovi</w:t>
      </w:r>
      <w:r w:rsidR="00E71036">
        <w:t xml:space="preserve"> aktualizovaný zoznam </w:t>
      </w:r>
      <w:r w:rsidR="00542C72">
        <w:t xml:space="preserve">organizácií. </w:t>
      </w:r>
      <w:r>
        <w:t xml:space="preserve"> </w:t>
      </w:r>
    </w:p>
    <w:p w14:paraId="6A33C476" w14:textId="77777777" w:rsidR="002961A3" w:rsidRDefault="002961A3">
      <w:r>
        <w:br w:type="page"/>
      </w:r>
    </w:p>
    <w:p w14:paraId="5F04C09A" w14:textId="0E9E51F5" w:rsidR="002961A3" w:rsidRPr="005E673A" w:rsidRDefault="002961A3" w:rsidP="002961A3">
      <w:pPr>
        <w:pStyle w:val="Heading1"/>
        <w:rPr>
          <w:color w:val="C00000"/>
        </w:rPr>
      </w:pPr>
      <w:r w:rsidRPr="005E673A">
        <w:rPr>
          <w:color w:val="C00000"/>
        </w:rPr>
        <w:t>Príloha č. 8 - Zoznam preexistentého softvéru</w:t>
      </w:r>
    </w:p>
    <w:p w14:paraId="2F33D595" w14:textId="77777777" w:rsidR="00A9136E" w:rsidRPr="005E673A" w:rsidRDefault="00A9136E" w:rsidP="0048754D">
      <w:pPr>
        <w:jc w:val="both"/>
        <w:rPr>
          <w:color w:val="C00000"/>
        </w:rPr>
      </w:pPr>
    </w:p>
    <w:p w14:paraId="1530E8DF" w14:textId="0E04076E" w:rsidR="002961A3" w:rsidRPr="005E673A" w:rsidRDefault="002961A3" w:rsidP="0048754D">
      <w:pPr>
        <w:jc w:val="both"/>
        <w:rPr>
          <w:b/>
          <w:bCs/>
          <w:color w:val="C00000"/>
        </w:rPr>
      </w:pPr>
      <w:r w:rsidRPr="005E673A">
        <w:rPr>
          <w:b/>
          <w:bCs/>
          <w:color w:val="C00000"/>
        </w:rPr>
        <w:t>Tabuľku vyplní uchádzač</w:t>
      </w:r>
    </w:p>
    <w:tbl>
      <w:tblPr>
        <w:tblStyle w:val="TableGrid"/>
        <w:tblW w:w="0" w:type="auto"/>
        <w:tblLook w:val="04A0" w:firstRow="1" w:lastRow="0" w:firstColumn="1" w:lastColumn="0" w:noHBand="0" w:noVBand="1"/>
      </w:tblPr>
      <w:tblGrid>
        <w:gridCol w:w="704"/>
        <w:gridCol w:w="4111"/>
        <w:gridCol w:w="4245"/>
      </w:tblGrid>
      <w:tr w:rsidR="005E673A" w:rsidRPr="005E673A" w14:paraId="1DE66509" w14:textId="77777777" w:rsidTr="002961A3">
        <w:tc>
          <w:tcPr>
            <w:tcW w:w="704" w:type="dxa"/>
          </w:tcPr>
          <w:p w14:paraId="0761CAA1" w14:textId="3638E9A0" w:rsidR="002961A3" w:rsidRPr="005E673A" w:rsidRDefault="002961A3" w:rsidP="0048754D">
            <w:pPr>
              <w:jc w:val="both"/>
              <w:rPr>
                <w:b/>
                <w:bCs/>
                <w:color w:val="C00000"/>
              </w:rPr>
            </w:pPr>
            <w:r w:rsidRPr="005E673A">
              <w:rPr>
                <w:b/>
                <w:bCs/>
                <w:color w:val="C00000"/>
              </w:rPr>
              <w:t>P.č.</w:t>
            </w:r>
          </w:p>
        </w:tc>
        <w:tc>
          <w:tcPr>
            <w:tcW w:w="4111" w:type="dxa"/>
          </w:tcPr>
          <w:p w14:paraId="4DA73F68" w14:textId="76763731" w:rsidR="002961A3" w:rsidRPr="005E673A" w:rsidRDefault="002961A3" w:rsidP="0048754D">
            <w:pPr>
              <w:jc w:val="both"/>
              <w:rPr>
                <w:b/>
                <w:bCs/>
                <w:color w:val="C00000"/>
              </w:rPr>
            </w:pPr>
            <w:r w:rsidRPr="005E673A">
              <w:rPr>
                <w:b/>
                <w:bCs/>
                <w:color w:val="C00000"/>
              </w:rPr>
              <w:t>Názov</w:t>
            </w:r>
          </w:p>
        </w:tc>
        <w:tc>
          <w:tcPr>
            <w:tcW w:w="4245" w:type="dxa"/>
          </w:tcPr>
          <w:p w14:paraId="2438461C" w14:textId="69037D52" w:rsidR="002961A3" w:rsidRPr="005E673A" w:rsidRDefault="002961A3" w:rsidP="0048754D">
            <w:pPr>
              <w:jc w:val="both"/>
              <w:rPr>
                <w:b/>
                <w:bCs/>
                <w:color w:val="C00000"/>
              </w:rPr>
            </w:pPr>
            <w:r w:rsidRPr="005E673A">
              <w:rPr>
                <w:b/>
                <w:bCs/>
                <w:color w:val="C00000"/>
              </w:rPr>
              <w:t>Funkcionalita</w:t>
            </w:r>
          </w:p>
        </w:tc>
      </w:tr>
      <w:tr w:rsidR="005E673A" w:rsidRPr="005E673A" w14:paraId="0E8990D5" w14:textId="77777777" w:rsidTr="002961A3">
        <w:tc>
          <w:tcPr>
            <w:tcW w:w="704" w:type="dxa"/>
          </w:tcPr>
          <w:p w14:paraId="2ABEBAF9" w14:textId="77777777" w:rsidR="002961A3" w:rsidRPr="005E673A" w:rsidRDefault="002961A3" w:rsidP="0048754D">
            <w:pPr>
              <w:jc w:val="both"/>
              <w:rPr>
                <w:color w:val="C00000"/>
              </w:rPr>
            </w:pPr>
          </w:p>
        </w:tc>
        <w:tc>
          <w:tcPr>
            <w:tcW w:w="4111" w:type="dxa"/>
          </w:tcPr>
          <w:p w14:paraId="7217BED7" w14:textId="77777777" w:rsidR="002961A3" w:rsidRPr="005E673A" w:rsidRDefault="002961A3" w:rsidP="0048754D">
            <w:pPr>
              <w:jc w:val="both"/>
              <w:rPr>
                <w:color w:val="C00000"/>
              </w:rPr>
            </w:pPr>
          </w:p>
        </w:tc>
        <w:tc>
          <w:tcPr>
            <w:tcW w:w="4245" w:type="dxa"/>
          </w:tcPr>
          <w:p w14:paraId="14013CE3" w14:textId="77777777" w:rsidR="002961A3" w:rsidRPr="005E673A" w:rsidRDefault="002961A3" w:rsidP="0048754D">
            <w:pPr>
              <w:jc w:val="both"/>
              <w:rPr>
                <w:color w:val="C00000"/>
              </w:rPr>
            </w:pPr>
          </w:p>
        </w:tc>
      </w:tr>
      <w:tr w:rsidR="005E673A" w:rsidRPr="005E673A" w14:paraId="555FB0EC" w14:textId="77777777" w:rsidTr="002961A3">
        <w:tc>
          <w:tcPr>
            <w:tcW w:w="704" w:type="dxa"/>
          </w:tcPr>
          <w:p w14:paraId="4E85EFFA" w14:textId="77777777" w:rsidR="002961A3" w:rsidRPr="005E673A" w:rsidRDefault="002961A3" w:rsidP="0048754D">
            <w:pPr>
              <w:jc w:val="both"/>
              <w:rPr>
                <w:color w:val="C00000"/>
              </w:rPr>
            </w:pPr>
          </w:p>
        </w:tc>
        <w:tc>
          <w:tcPr>
            <w:tcW w:w="4111" w:type="dxa"/>
          </w:tcPr>
          <w:p w14:paraId="0354374B" w14:textId="77777777" w:rsidR="002961A3" w:rsidRPr="005E673A" w:rsidRDefault="002961A3" w:rsidP="0048754D">
            <w:pPr>
              <w:jc w:val="both"/>
              <w:rPr>
                <w:color w:val="C00000"/>
              </w:rPr>
            </w:pPr>
          </w:p>
        </w:tc>
        <w:tc>
          <w:tcPr>
            <w:tcW w:w="4245" w:type="dxa"/>
          </w:tcPr>
          <w:p w14:paraId="50D9FA2F" w14:textId="77777777" w:rsidR="002961A3" w:rsidRPr="005E673A" w:rsidRDefault="002961A3" w:rsidP="0048754D">
            <w:pPr>
              <w:jc w:val="both"/>
              <w:rPr>
                <w:color w:val="C00000"/>
              </w:rPr>
            </w:pPr>
          </w:p>
        </w:tc>
      </w:tr>
      <w:tr w:rsidR="005E673A" w:rsidRPr="005E673A" w14:paraId="7A91AA77" w14:textId="77777777" w:rsidTr="002961A3">
        <w:tc>
          <w:tcPr>
            <w:tcW w:w="704" w:type="dxa"/>
          </w:tcPr>
          <w:p w14:paraId="53132207" w14:textId="77777777" w:rsidR="002961A3" w:rsidRPr="005E673A" w:rsidRDefault="002961A3" w:rsidP="0048754D">
            <w:pPr>
              <w:jc w:val="both"/>
              <w:rPr>
                <w:color w:val="C00000"/>
              </w:rPr>
            </w:pPr>
          </w:p>
        </w:tc>
        <w:tc>
          <w:tcPr>
            <w:tcW w:w="4111" w:type="dxa"/>
          </w:tcPr>
          <w:p w14:paraId="200D4DA6" w14:textId="77777777" w:rsidR="002961A3" w:rsidRPr="005E673A" w:rsidRDefault="002961A3" w:rsidP="0048754D">
            <w:pPr>
              <w:jc w:val="both"/>
              <w:rPr>
                <w:color w:val="C00000"/>
              </w:rPr>
            </w:pPr>
          </w:p>
        </w:tc>
        <w:tc>
          <w:tcPr>
            <w:tcW w:w="4245" w:type="dxa"/>
          </w:tcPr>
          <w:p w14:paraId="39688A62" w14:textId="77777777" w:rsidR="002961A3" w:rsidRPr="005E673A" w:rsidRDefault="002961A3" w:rsidP="0048754D">
            <w:pPr>
              <w:jc w:val="both"/>
              <w:rPr>
                <w:color w:val="C00000"/>
              </w:rPr>
            </w:pPr>
          </w:p>
        </w:tc>
      </w:tr>
      <w:tr w:rsidR="005E673A" w:rsidRPr="005E673A" w14:paraId="574FF040" w14:textId="77777777" w:rsidTr="002961A3">
        <w:tc>
          <w:tcPr>
            <w:tcW w:w="704" w:type="dxa"/>
          </w:tcPr>
          <w:p w14:paraId="2FF85930" w14:textId="77777777" w:rsidR="002961A3" w:rsidRPr="005E673A" w:rsidRDefault="002961A3" w:rsidP="0048754D">
            <w:pPr>
              <w:jc w:val="both"/>
              <w:rPr>
                <w:color w:val="C00000"/>
              </w:rPr>
            </w:pPr>
          </w:p>
        </w:tc>
        <w:tc>
          <w:tcPr>
            <w:tcW w:w="4111" w:type="dxa"/>
          </w:tcPr>
          <w:p w14:paraId="658250C4" w14:textId="77777777" w:rsidR="002961A3" w:rsidRPr="005E673A" w:rsidRDefault="002961A3" w:rsidP="0048754D">
            <w:pPr>
              <w:jc w:val="both"/>
              <w:rPr>
                <w:color w:val="C00000"/>
              </w:rPr>
            </w:pPr>
          </w:p>
        </w:tc>
        <w:tc>
          <w:tcPr>
            <w:tcW w:w="4245" w:type="dxa"/>
          </w:tcPr>
          <w:p w14:paraId="5361503C" w14:textId="77777777" w:rsidR="002961A3" w:rsidRPr="005E673A" w:rsidRDefault="002961A3" w:rsidP="0048754D">
            <w:pPr>
              <w:jc w:val="both"/>
              <w:rPr>
                <w:color w:val="C00000"/>
              </w:rPr>
            </w:pPr>
          </w:p>
        </w:tc>
      </w:tr>
      <w:tr w:rsidR="002961A3" w:rsidRPr="005E673A" w14:paraId="5742F16F" w14:textId="77777777" w:rsidTr="002961A3">
        <w:tc>
          <w:tcPr>
            <w:tcW w:w="704" w:type="dxa"/>
          </w:tcPr>
          <w:p w14:paraId="16E3BF49" w14:textId="77777777" w:rsidR="002961A3" w:rsidRPr="005E673A" w:rsidRDefault="002961A3" w:rsidP="0048754D">
            <w:pPr>
              <w:jc w:val="both"/>
              <w:rPr>
                <w:color w:val="C00000"/>
              </w:rPr>
            </w:pPr>
          </w:p>
        </w:tc>
        <w:tc>
          <w:tcPr>
            <w:tcW w:w="4111" w:type="dxa"/>
          </w:tcPr>
          <w:p w14:paraId="3A2E0905" w14:textId="77777777" w:rsidR="002961A3" w:rsidRPr="005E673A" w:rsidRDefault="002961A3" w:rsidP="0048754D">
            <w:pPr>
              <w:jc w:val="both"/>
              <w:rPr>
                <w:color w:val="C00000"/>
              </w:rPr>
            </w:pPr>
          </w:p>
        </w:tc>
        <w:tc>
          <w:tcPr>
            <w:tcW w:w="4245" w:type="dxa"/>
          </w:tcPr>
          <w:p w14:paraId="131CE9D3" w14:textId="77777777" w:rsidR="002961A3" w:rsidRPr="005E673A" w:rsidRDefault="002961A3" w:rsidP="0048754D">
            <w:pPr>
              <w:jc w:val="both"/>
              <w:rPr>
                <w:color w:val="C00000"/>
              </w:rPr>
            </w:pPr>
          </w:p>
        </w:tc>
      </w:tr>
    </w:tbl>
    <w:p w14:paraId="250246C2" w14:textId="77777777" w:rsidR="002961A3" w:rsidRPr="005E673A" w:rsidRDefault="002961A3" w:rsidP="0048754D">
      <w:pPr>
        <w:jc w:val="both"/>
        <w:rPr>
          <w:color w:val="C00000"/>
        </w:rPr>
      </w:pPr>
    </w:p>
    <w:sectPr w:rsidR="002961A3" w:rsidRPr="005E673A"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2520" w14:textId="77777777" w:rsidR="00367DF5" w:rsidRDefault="00367DF5" w:rsidP="00B758A3">
      <w:pPr>
        <w:spacing w:after="0" w:line="240" w:lineRule="auto"/>
      </w:pPr>
      <w:r>
        <w:separator/>
      </w:r>
    </w:p>
  </w:endnote>
  <w:endnote w:type="continuationSeparator" w:id="0">
    <w:p w14:paraId="612287D2" w14:textId="77777777" w:rsidR="00367DF5" w:rsidRDefault="00367DF5" w:rsidP="00B758A3">
      <w:pPr>
        <w:spacing w:after="0" w:line="240" w:lineRule="auto"/>
      </w:pPr>
      <w:r>
        <w:continuationSeparator/>
      </w:r>
    </w:p>
  </w:endnote>
  <w:endnote w:type="continuationNotice" w:id="1">
    <w:p w14:paraId="091318A5" w14:textId="77777777" w:rsidR="00367DF5" w:rsidRDefault="00367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Content>
      <w:p w14:paraId="3809F7B4" w14:textId="0E59F8B6" w:rsidR="00773652" w:rsidRDefault="00773652">
        <w:pPr>
          <w:pStyle w:val="Footer"/>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A4F7" w14:textId="77777777" w:rsidR="00367DF5" w:rsidRDefault="00367DF5" w:rsidP="00B758A3">
      <w:pPr>
        <w:spacing w:after="0" w:line="240" w:lineRule="auto"/>
      </w:pPr>
      <w:r>
        <w:separator/>
      </w:r>
    </w:p>
  </w:footnote>
  <w:footnote w:type="continuationSeparator" w:id="0">
    <w:p w14:paraId="7F43ED6B" w14:textId="77777777" w:rsidR="00367DF5" w:rsidRDefault="00367DF5" w:rsidP="00B758A3">
      <w:pPr>
        <w:spacing w:after="0" w:line="240" w:lineRule="auto"/>
      </w:pPr>
      <w:r>
        <w:continuationSeparator/>
      </w:r>
    </w:p>
  </w:footnote>
  <w:footnote w:type="continuationNotice" w:id="1">
    <w:p w14:paraId="28C46A23" w14:textId="77777777" w:rsidR="00367DF5" w:rsidRDefault="00367D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AB66B2"/>
    <w:multiLevelType w:val="hybridMultilevel"/>
    <w:tmpl w:val="E0328CE2"/>
    <w:lvl w:ilvl="0" w:tplc="FFFFFFFF">
      <w:start w:val="1"/>
      <w:numFmt w:val="decimal"/>
      <w:lvlText w:val="%1."/>
      <w:lvlJc w:val="left"/>
      <w:pPr>
        <w:ind w:left="720" w:hanging="360"/>
      </w:pPr>
    </w:lvl>
    <w:lvl w:ilvl="1" w:tplc="041B000F">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4"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2F5C1101"/>
    <w:multiLevelType w:val="hybridMultilevel"/>
    <w:tmpl w:val="70DE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8" w15:restartNumberingAfterBreak="0">
    <w:nsid w:val="521E0048"/>
    <w:multiLevelType w:val="hybridMultilevel"/>
    <w:tmpl w:val="EEBADA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51"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3"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8"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1"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3"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6"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8"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5" w15:restartNumberingAfterBreak="0">
    <w:nsid w:val="71302075"/>
    <w:multiLevelType w:val="hybridMultilevel"/>
    <w:tmpl w:val="FC88A686"/>
    <w:lvl w:ilvl="0" w:tplc="041B000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8"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82"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4"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50"/>
  </w:num>
  <w:num w:numId="2" w16cid:durableId="369384576">
    <w:abstractNumId w:val="59"/>
  </w:num>
  <w:num w:numId="3" w16cid:durableId="488865295">
    <w:abstractNumId w:val="24"/>
  </w:num>
  <w:num w:numId="4" w16cid:durableId="1876624457">
    <w:abstractNumId w:val="65"/>
  </w:num>
  <w:num w:numId="5" w16cid:durableId="406341371">
    <w:abstractNumId w:val="51"/>
  </w:num>
  <w:num w:numId="6" w16cid:durableId="885218141">
    <w:abstractNumId w:val="56"/>
  </w:num>
  <w:num w:numId="7" w16cid:durableId="1067647273">
    <w:abstractNumId w:val="1"/>
  </w:num>
  <w:num w:numId="8" w16cid:durableId="1549534957">
    <w:abstractNumId w:val="8"/>
  </w:num>
  <w:num w:numId="9" w16cid:durableId="675958829">
    <w:abstractNumId w:val="38"/>
  </w:num>
  <w:num w:numId="10" w16cid:durableId="328675372">
    <w:abstractNumId w:val="58"/>
  </w:num>
  <w:num w:numId="11" w16cid:durableId="2081097114">
    <w:abstractNumId w:val="39"/>
  </w:num>
  <w:num w:numId="12" w16cid:durableId="1433433178">
    <w:abstractNumId w:val="73"/>
  </w:num>
  <w:num w:numId="13" w16cid:durableId="1739284202">
    <w:abstractNumId w:val="82"/>
  </w:num>
  <w:num w:numId="14" w16cid:durableId="1695032447">
    <w:abstractNumId w:val="35"/>
  </w:num>
  <w:num w:numId="15" w16cid:durableId="146023525">
    <w:abstractNumId w:val="23"/>
  </w:num>
  <w:num w:numId="16" w16cid:durableId="555896835">
    <w:abstractNumId w:val="54"/>
  </w:num>
  <w:num w:numId="17" w16cid:durableId="1141313576">
    <w:abstractNumId w:val="37"/>
  </w:num>
  <w:num w:numId="18" w16cid:durableId="1011950005">
    <w:abstractNumId w:val="70"/>
  </w:num>
  <w:num w:numId="19" w16cid:durableId="42991919">
    <w:abstractNumId w:val="76"/>
  </w:num>
  <w:num w:numId="20" w16cid:durableId="1158959139">
    <w:abstractNumId w:val="34"/>
  </w:num>
  <w:num w:numId="21" w16cid:durableId="1597861332">
    <w:abstractNumId w:val="79"/>
  </w:num>
  <w:num w:numId="22" w16cid:durableId="972712221">
    <w:abstractNumId w:val="80"/>
  </w:num>
  <w:num w:numId="23" w16cid:durableId="1212765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8"/>
  </w:num>
  <w:num w:numId="25" w16cid:durableId="201328650">
    <w:abstractNumId w:val="14"/>
  </w:num>
  <w:num w:numId="26" w16cid:durableId="672994285">
    <w:abstractNumId w:val="74"/>
  </w:num>
  <w:num w:numId="27" w16cid:durableId="109319531">
    <w:abstractNumId w:val="31"/>
  </w:num>
  <w:num w:numId="28" w16cid:durableId="434523826">
    <w:abstractNumId w:val="57"/>
  </w:num>
  <w:num w:numId="29" w16cid:durableId="1184513397">
    <w:abstractNumId w:val="4"/>
  </w:num>
  <w:num w:numId="30" w16cid:durableId="643585355">
    <w:abstractNumId w:val="27"/>
  </w:num>
  <w:num w:numId="31" w16cid:durableId="1560556303">
    <w:abstractNumId w:val="12"/>
  </w:num>
  <w:num w:numId="32" w16cid:durableId="589629169">
    <w:abstractNumId w:val="19"/>
  </w:num>
  <w:num w:numId="33" w16cid:durableId="354696983">
    <w:abstractNumId w:val="46"/>
  </w:num>
  <w:num w:numId="34" w16cid:durableId="1638142038">
    <w:abstractNumId w:val="30"/>
  </w:num>
  <w:num w:numId="35" w16cid:durableId="1887596295">
    <w:abstractNumId w:val="43"/>
  </w:num>
  <w:num w:numId="36" w16cid:durableId="1026103121">
    <w:abstractNumId w:val="55"/>
  </w:num>
  <w:num w:numId="37" w16cid:durableId="280186911">
    <w:abstractNumId w:val="71"/>
  </w:num>
  <w:num w:numId="38" w16cid:durableId="2097748028">
    <w:abstractNumId w:val="68"/>
  </w:num>
  <w:num w:numId="39" w16cid:durableId="1473597788">
    <w:abstractNumId w:val="13"/>
  </w:num>
  <w:num w:numId="40" w16cid:durableId="817572509">
    <w:abstractNumId w:val="2"/>
  </w:num>
  <w:num w:numId="41" w16cid:durableId="715736458">
    <w:abstractNumId w:val="63"/>
  </w:num>
  <w:num w:numId="42" w16cid:durableId="592013798">
    <w:abstractNumId w:val="49"/>
  </w:num>
  <w:num w:numId="43" w16cid:durableId="1119449569">
    <w:abstractNumId w:val="41"/>
  </w:num>
  <w:num w:numId="44" w16cid:durableId="2005164921">
    <w:abstractNumId w:val="29"/>
  </w:num>
  <w:num w:numId="45" w16cid:durableId="1915968199">
    <w:abstractNumId w:val="3"/>
  </w:num>
  <w:num w:numId="46" w16cid:durableId="771168799">
    <w:abstractNumId w:val="61"/>
  </w:num>
  <w:num w:numId="47" w16cid:durableId="2135639566">
    <w:abstractNumId w:val="53"/>
  </w:num>
  <w:num w:numId="48" w16cid:durableId="972758750">
    <w:abstractNumId w:val="16"/>
  </w:num>
  <w:num w:numId="49" w16cid:durableId="742289467">
    <w:abstractNumId w:val="47"/>
  </w:num>
  <w:num w:numId="50" w16cid:durableId="1004555056">
    <w:abstractNumId w:val="44"/>
  </w:num>
  <w:num w:numId="51" w16cid:durableId="909387463">
    <w:abstractNumId w:val="21"/>
  </w:num>
  <w:num w:numId="52" w16cid:durableId="897864996">
    <w:abstractNumId w:val="32"/>
  </w:num>
  <w:num w:numId="53" w16cid:durableId="717971063">
    <w:abstractNumId w:val="6"/>
  </w:num>
  <w:num w:numId="54" w16cid:durableId="56783893">
    <w:abstractNumId w:val="60"/>
  </w:num>
  <w:num w:numId="55" w16cid:durableId="796336656">
    <w:abstractNumId w:val="25"/>
  </w:num>
  <w:num w:numId="56" w16cid:durableId="859051053">
    <w:abstractNumId w:val="22"/>
  </w:num>
  <w:num w:numId="57" w16cid:durableId="1801608327">
    <w:abstractNumId w:val="45"/>
  </w:num>
  <w:num w:numId="58" w16cid:durableId="1657103850">
    <w:abstractNumId w:val="72"/>
  </w:num>
  <w:num w:numId="59" w16cid:durableId="1705517674">
    <w:abstractNumId w:val="36"/>
  </w:num>
  <w:num w:numId="60" w16cid:durableId="1878203958">
    <w:abstractNumId w:val="0"/>
  </w:num>
  <w:num w:numId="61" w16cid:durableId="39284617">
    <w:abstractNumId w:val="33"/>
  </w:num>
  <w:num w:numId="62" w16cid:durableId="2021925493">
    <w:abstractNumId w:val="67"/>
  </w:num>
  <w:num w:numId="63" w16cid:durableId="1776484892">
    <w:abstractNumId w:val="83"/>
  </w:num>
  <w:num w:numId="64" w16cid:durableId="2001276721">
    <w:abstractNumId w:val="84"/>
  </w:num>
  <w:num w:numId="65" w16cid:durableId="2144303203">
    <w:abstractNumId w:val="62"/>
  </w:num>
  <w:num w:numId="66" w16cid:durableId="1796368558">
    <w:abstractNumId w:val="20"/>
  </w:num>
  <w:num w:numId="67" w16cid:durableId="1112164164">
    <w:abstractNumId w:val="77"/>
  </w:num>
  <w:num w:numId="68" w16cid:durableId="261957101">
    <w:abstractNumId w:val="11"/>
  </w:num>
  <w:num w:numId="69" w16cid:durableId="770514732">
    <w:abstractNumId w:val="78"/>
  </w:num>
  <w:num w:numId="70" w16cid:durableId="1891723382">
    <w:abstractNumId w:val="42"/>
  </w:num>
  <w:num w:numId="71" w16cid:durableId="1605266413">
    <w:abstractNumId w:val="64"/>
  </w:num>
  <w:num w:numId="72" w16cid:durableId="1695107968">
    <w:abstractNumId w:val="15"/>
  </w:num>
  <w:num w:numId="73" w16cid:durableId="1684629512">
    <w:abstractNumId w:val="17"/>
  </w:num>
  <w:num w:numId="74" w16cid:durableId="2110462606">
    <w:abstractNumId w:val="81"/>
  </w:num>
  <w:num w:numId="75" w16cid:durableId="131990250">
    <w:abstractNumId w:val="69"/>
  </w:num>
  <w:num w:numId="76" w16cid:durableId="409236471">
    <w:abstractNumId w:val="7"/>
  </w:num>
  <w:num w:numId="77" w16cid:durableId="862209158">
    <w:abstractNumId w:val="5"/>
  </w:num>
  <w:num w:numId="78" w16cid:durableId="724910120">
    <w:abstractNumId w:val="52"/>
  </w:num>
  <w:num w:numId="79" w16cid:durableId="534074487">
    <w:abstractNumId w:val="9"/>
  </w:num>
  <w:num w:numId="80" w16cid:durableId="1005937721">
    <w:abstractNumId w:val="10"/>
  </w:num>
  <w:num w:numId="81" w16cid:durableId="1734615626">
    <w:abstractNumId w:val="40"/>
  </w:num>
  <w:num w:numId="82" w16cid:durableId="1215195276">
    <w:abstractNumId w:val="66"/>
  </w:num>
  <w:num w:numId="83" w16cid:durableId="294338474">
    <w:abstractNumId w:val="26"/>
  </w:num>
  <w:num w:numId="84" w16cid:durableId="1355376443">
    <w:abstractNumId w:val="75"/>
  </w:num>
  <w:num w:numId="85" w16cid:durableId="1657226563">
    <w:abstractNumId w:val="48"/>
  </w:num>
  <w:num w:numId="86" w16cid:durableId="9722438">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5E20"/>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53D3"/>
    <w:rsid w:val="0009634A"/>
    <w:rsid w:val="00096D87"/>
    <w:rsid w:val="00097FF1"/>
    <w:rsid w:val="000A0060"/>
    <w:rsid w:val="000A053D"/>
    <w:rsid w:val="000A058F"/>
    <w:rsid w:val="000A0843"/>
    <w:rsid w:val="000A0D2A"/>
    <w:rsid w:val="000A1029"/>
    <w:rsid w:val="000A23CC"/>
    <w:rsid w:val="000A2520"/>
    <w:rsid w:val="000A301D"/>
    <w:rsid w:val="000A4464"/>
    <w:rsid w:val="000A4593"/>
    <w:rsid w:val="000A51FF"/>
    <w:rsid w:val="000A5778"/>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CDA"/>
    <w:rsid w:val="00130D57"/>
    <w:rsid w:val="00131796"/>
    <w:rsid w:val="00132016"/>
    <w:rsid w:val="00132105"/>
    <w:rsid w:val="0013342D"/>
    <w:rsid w:val="00133C7A"/>
    <w:rsid w:val="00133D83"/>
    <w:rsid w:val="00133ECE"/>
    <w:rsid w:val="00134228"/>
    <w:rsid w:val="001342A1"/>
    <w:rsid w:val="00134B51"/>
    <w:rsid w:val="00135870"/>
    <w:rsid w:val="00136BE5"/>
    <w:rsid w:val="00137868"/>
    <w:rsid w:val="00141462"/>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8C9"/>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4F08"/>
    <w:rsid w:val="001E52C6"/>
    <w:rsid w:val="001E5BAA"/>
    <w:rsid w:val="001E6D20"/>
    <w:rsid w:val="001E7F33"/>
    <w:rsid w:val="001F06F9"/>
    <w:rsid w:val="001F0EBE"/>
    <w:rsid w:val="001F1252"/>
    <w:rsid w:val="001F1398"/>
    <w:rsid w:val="001F2B8B"/>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8DC"/>
    <w:rsid w:val="00205D1A"/>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6DDF"/>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91B"/>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1A3"/>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4E37"/>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588D"/>
    <w:rsid w:val="002E603D"/>
    <w:rsid w:val="002E7F04"/>
    <w:rsid w:val="002F0966"/>
    <w:rsid w:val="002F0E5F"/>
    <w:rsid w:val="002F1459"/>
    <w:rsid w:val="002F16BF"/>
    <w:rsid w:val="002F25D6"/>
    <w:rsid w:val="002F27F7"/>
    <w:rsid w:val="002F29C6"/>
    <w:rsid w:val="002F3114"/>
    <w:rsid w:val="002F3132"/>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BDA"/>
    <w:rsid w:val="00333E56"/>
    <w:rsid w:val="003340A4"/>
    <w:rsid w:val="00334F7B"/>
    <w:rsid w:val="0033730D"/>
    <w:rsid w:val="003373FA"/>
    <w:rsid w:val="0033774A"/>
    <w:rsid w:val="0034004F"/>
    <w:rsid w:val="00340557"/>
    <w:rsid w:val="003413DE"/>
    <w:rsid w:val="00341C5B"/>
    <w:rsid w:val="0034263F"/>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7DF5"/>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488A"/>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0C3"/>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B4"/>
    <w:rsid w:val="004660ED"/>
    <w:rsid w:val="00466B4E"/>
    <w:rsid w:val="00471128"/>
    <w:rsid w:val="00471765"/>
    <w:rsid w:val="00471D5B"/>
    <w:rsid w:val="00472457"/>
    <w:rsid w:val="0047343C"/>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54D"/>
    <w:rsid w:val="0048760C"/>
    <w:rsid w:val="00487B77"/>
    <w:rsid w:val="00490309"/>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32D"/>
    <w:rsid w:val="004B549A"/>
    <w:rsid w:val="004B55F9"/>
    <w:rsid w:val="004B5B8C"/>
    <w:rsid w:val="004B63FA"/>
    <w:rsid w:val="004B69A9"/>
    <w:rsid w:val="004B6B91"/>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D6107"/>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2907"/>
    <w:rsid w:val="00513072"/>
    <w:rsid w:val="00513EEA"/>
    <w:rsid w:val="00514112"/>
    <w:rsid w:val="00514C16"/>
    <w:rsid w:val="005157A7"/>
    <w:rsid w:val="005178F6"/>
    <w:rsid w:val="005200D6"/>
    <w:rsid w:val="00520755"/>
    <w:rsid w:val="0052197E"/>
    <w:rsid w:val="005246EA"/>
    <w:rsid w:val="00524E00"/>
    <w:rsid w:val="005250AE"/>
    <w:rsid w:val="00525DED"/>
    <w:rsid w:val="005260B0"/>
    <w:rsid w:val="00526484"/>
    <w:rsid w:val="005275CD"/>
    <w:rsid w:val="00527CDB"/>
    <w:rsid w:val="005301E0"/>
    <w:rsid w:val="00530369"/>
    <w:rsid w:val="005309B0"/>
    <w:rsid w:val="005310FA"/>
    <w:rsid w:val="0053234C"/>
    <w:rsid w:val="00533FCC"/>
    <w:rsid w:val="0053409A"/>
    <w:rsid w:val="00534DF2"/>
    <w:rsid w:val="00535353"/>
    <w:rsid w:val="005378F5"/>
    <w:rsid w:val="0054081D"/>
    <w:rsid w:val="00540B1D"/>
    <w:rsid w:val="00540CD7"/>
    <w:rsid w:val="005413E0"/>
    <w:rsid w:val="0054158C"/>
    <w:rsid w:val="00541A61"/>
    <w:rsid w:val="005428B4"/>
    <w:rsid w:val="00542AB2"/>
    <w:rsid w:val="00542C72"/>
    <w:rsid w:val="005435F1"/>
    <w:rsid w:val="0054459F"/>
    <w:rsid w:val="0054523A"/>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0D5"/>
    <w:rsid w:val="005A5321"/>
    <w:rsid w:val="005A5657"/>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9A8"/>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73A"/>
    <w:rsid w:val="005E68A6"/>
    <w:rsid w:val="005E6DED"/>
    <w:rsid w:val="005E6F0C"/>
    <w:rsid w:val="005E7135"/>
    <w:rsid w:val="005E7416"/>
    <w:rsid w:val="005E7E39"/>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168"/>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9FA"/>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192C"/>
    <w:rsid w:val="00661E61"/>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253"/>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D04"/>
    <w:rsid w:val="00695E8B"/>
    <w:rsid w:val="00696C26"/>
    <w:rsid w:val="00697799"/>
    <w:rsid w:val="006977AB"/>
    <w:rsid w:val="006A01D3"/>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B85"/>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D42"/>
    <w:rsid w:val="006E1F29"/>
    <w:rsid w:val="006E1FEE"/>
    <w:rsid w:val="006E2554"/>
    <w:rsid w:val="006E2C76"/>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163"/>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6DF"/>
    <w:rsid w:val="00754796"/>
    <w:rsid w:val="00755D06"/>
    <w:rsid w:val="00757695"/>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6552"/>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57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465"/>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189"/>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95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39E"/>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2EF"/>
    <w:rsid w:val="008D1BDE"/>
    <w:rsid w:val="008D1E09"/>
    <w:rsid w:val="008D205F"/>
    <w:rsid w:val="008D21C5"/>
    <w:rsid w:val="008D23FE"/>
    <w:rsid w:val="008D3425"/>
    <w:rsid w:val="008D37F3"/>
    <w:rsid w:val="008D382D"/>
    <w:rsid w:val="008D42FF"/>
    <w:rsid w:val="008D486F"/>
    <w:rsid w:val="008D4FD3"/>
    <w:rsid w:val="008D5003"/>
    <w:rsid w:val="008D576C"/>
    <w:rsid w:val="008D5937"/>
    <w:rsid w:val="008D7032"/>
    <w:rsid w:val="008D7411"/>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3ED2"/>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4DCE"/>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19CF"/>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59"/>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3F51"/>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94B"/>
    <w:rsid w:val="00A13F2A"/>
    <w:rsid w:val="00A1429C"/>
    <w:rsid w:val="00A15F39"/>
    <w:rsid w:val="00A171ED"/>
    <w:rsid w:val="00A175E0"/>
    <w:rsid w:val="00A17850"/>
    <w:rsid w:val="00A2066A"/>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8EB"/>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653"/>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4DB9"/>
    <w:rsid w:val="00A85397"/>
    <w:rsid w:val="00A85E53"/>
    <w:rsid w:val="00A86C3C"/>
    <w:rsid w:val="00A86EA6"/>
    <w:rsid w:val="00A902C7"/>
    <w:rsid w:val="00A9039A"/>
    <w:rsid w:val="00A9091B"/>
    <w:rsid w:val="00A9103C"/>
    <w:rsid w:val="00A9136E"/>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975"/>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59A"/>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6ACF"/>
    <w:rsid w:val="00BC7451"/>
    <w:rsid w:val="00BD071A"/>
    <w:rsid w:val="00BD196B"/>
    <w:rsid w:val="00BD1C81"/>
    <w:rsid w:val="00BD2123"/>
    <w:rsid w:val="00BD430A"/>
    <w:rsid w:val="00BD45CA"/>
    <w:rsid w:val="00BD47B7"/>
    <w:rsid w:val="00BD48BD"/>
    <w:rsid w:val="00BD5469"/>
    <w:rsid w:val="00BD5627"/>
    <w:rsid w:val="00BD6A32"/>
    <w:rsid w:val="00BD7116"/>
    <w:rsid w:val="00BE116B"/>
    <w:rsid w:val="00BE16D4"/>
    <w:rsid w:val="00BE23A1"/>
    <w:rsid w:val="00BE36BF"/>
    <w:rsid w:val="00BE3BDE"/>
    <w:rsid w:val="00BE3C9A"/>
    <w:rsid w:val="00BE41A4"/>
    <w:rsid w:val="00BE4DCE"/>
    <w:rsid w:val="00BE502F"/>
    <w:rsid w:val="00BE5079"/>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245"/>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105"/>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C21"/>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28F4"/>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4ED"/>
    <w:rsid w:val="00DB69B8"/>
    <w:rsid w:val="00DB71EC"/>
    <w:rsid w:val="00DB7434"/>
    <w:rsid w:val="00DC0249"/>
    <w:rsid w:val="00DC09AC"/>
    <w:rsid w:val="00DC18CE"/>
    <w:rsid w:val="00DC1F1E"/>
    <w:rsid w:val="00DC21F0"/>
    <w:rsid w:val="00DC3239"/>
    <w:rsid w:val="00DC4A3E"/>
    <w:rsid w:val="00DC4B6E"/>
    <w:rsid w:val="00DC532F"/>
    <w:rsid w:val="00DC5E75"/>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57"/>
    <w:rsid w:val="00E019E2"/>
    <w:rsid w:val="00E02E3B"/>
    <w:rsid w:val="00E031BD"/>
    <w:rsid w:val="00E03857"/>
    <w:rsid w:val="00E03F63"/>
    <w:rsid w:val="00E04AC1"/>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5B29"/>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036"/>
    <w:rsid w:val="00E71354"/>
    <w:rsid w:val="00E72E42"/>
    <w:rsid w:val="00E733E0"/>
    <w:rsid w:val="00E734F8"/>
    <w:rsid w:val="00E7431C"/>
    <w:rsid w:val="00E74682"/>
    <w:rsid w:val="00E753A6"/>
    <w:rsid w:val="00E75A60"/>
    <w:rsid w:val="00E75A90"/>
    <w:rsid w:val="00E77503"/>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548F"/>
    <w:rsid w:val="00E857F9"/>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6A2"/>
    <w:rsid w:val="00ED178D"/>
    <w:rsid w:val="00ED18F7"/>
    <w:rsid w:val="00ED1C02"/>
    <w:rsid w:val="00ED35E3"/>
    <w:rsid w:val="00ED4F45"/>
    <w:rsid w:val="00ED56B1"/>
    <w:rsid w:val="00ED5771"/>
    <w:rsid w:val="00ED5F3E"/>
    <w:rsid w:val="00ED69EC"/>
    <w:rsid w:val="00ED6C2C"/>
    <w:rsid w:val="00ED6FD3"/>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406"/>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22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1124"/>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458"/>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1CCA"/>
    <w:rsid w:val="00FF1F59"/>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228"/>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SharedWithUsers xmlns="83209d0e-22c6-4baf-80a0-d82b86cb1df3">
      <UserInfo>
        <DisplayName>Bubák Martin</DisplayName>
        <AccountId>54</AccountId>
        <AccountType/>
      </UserInfo>
      <UserInfo>
        <DisplayName>Mesiariková Ivana</DisplayName>
        <AccountId>13</AccountId>
        <AccountType/>
      </UserInfo>
    </SharedWithUsers>
  </documentManagement>
</p:properties>
</file>

<file path=customXml/itemProps1.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2.xml><?xml version="1.0" encoding="utf-8"?>
<ds:datastoreItem xmlns:ds="http://schemas.openxmlformats.org/officeDocument/2006/customXml" ds:itemID="{2B3C1A11-E650-41C5-9D36-086A88EC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64</Pages>
  <Words>24053</Words>
  <Characters>137104</Characters>
  <Application>Microsoft Office Word</Application>
  <DocSecurity>0</DocSecurity>
  <Lines>1142</Lines>
  <Paragraphs>321</Paragraphs>
  <ScaleCrop>false</ScaleCrop>
  <HeadingPairs>
    <vt:vector size="6" baseType="variant">
      <vt:variant>
        <vt:lpstr>Title</vt:lpstr>
      </vt:variant>
      <vt:variant>
        <vt:i4>1</vt:i4>
      </vt:variant>
      <vt:variant>
        <vt:lpstr>Headings</vt:lpstr>
      </vt:variant>
      <vt:variant>
        <vt:i4>27</vt:i4>
      </vt:variant>
      <vt:variant>
        <vt:lpstr>Názov</vt:lpstr>
      </vt:variant>
      <vt:variant>
        <vt:i4>1</vt:i4>
      </vt:variant>
    </vt:vector>
  </HeadingPairs>
  <TitlesOfParts>
    <vt:vector size="29" baseType="lpstr">
      <vt:lpstr/>
      <vt:lpstr>Príloha č. 1 - Podrobná špecifikácia Diela, Školenia a špecifikácia služieb Prev</vt:lpstr>
      <vt:lpstr>Skratky a pojmy</vt:lpstr>
      <vt:lpstr>Všeobecné požiadavky na RIS</vt:lpstr>
      <vt:lpstr>    Zdrojový kód</vt:lpstr>
      <vt:lpstr>    Bezpečnosť</vt:lpstr>
      <vt:lpstr>    Zálohovanie</vt:lpstr>
      <vt:lpstr>    Migrácia dát </vt:lpstr>
      <vt:lpstr>    Reporting</vt:lpstr>
      <vt:lpstr>    Riadenie prístupov</vt:lpstr>
      <vt:lpstr>    Predpokladaný počet používateľov</vt:lpstr>
      <vt:lpstr>    Testovanie</vt:lpstr>
      <vt:lpstr>    Dokumentácia</vt:lpstr>
      <vt:lpstr>    Požiadavky na technické riešenie a architektúru</vt:lpstr>
      <vt:lpstr>        Požiadavky na SW licencie a licenčné požiadavky</vt:lpstr>
      <vt:lpstr>        Požiadavky na prostredie</vt:lpstr>
      <vt:lpstr>    Projektový manažment</vt:lpstr>
      <vt:lpstr>Elektronická podateľňa</vt:lpstr>
      <vt:lpstr>Integračná platforma</vt:lpstr>
      <vt:lpstr>    Popis aktuálneho stavu (As-is)</vt:lpstr>
      <vt:lpstr>    Popis budúceho stavu (to-be)</vt:lpstr>
      <vt:lpstr>Registratúra</vt:lpstr>
      <vt:lpstr>    Popis aktuálneho stavu (as-is)</vt:lpstr>
      <vt:lpstr>    Popis budúceho stavu (to-be)</vt:lpstr>
      <vt:lpstr>        Technická špecifikácia</vt:lpstr>
      <vt:lpstr>        Funkčná špecifikácia</vt:lpstr>
      <vt:lpstr>        Kľúčové vlastnosti pre Úrad BBSK ako orgán verejnej moci</vt:lpstr>
      <vt:lpstr>        Funkcie podateľne</vt:lpstr>
      <vt:lpstr/>
    </vt:vector>
  </TitlesOfParts>
  <Company/>
  <LinksUpToDate>false</LinksUpToDate>
  <CharactersWithSpaces>160836</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5</cp:revision>
  <cp:lastPrinted>2025-02-19T08:51:00Z</cp:lastPrinted>
  <dcterms:created xsi:type="dcterms:W3CDTF">2025-08-18T11:25:00Z</dcterms:created>
  <dcterms:modified xsi:type="dcterms:W3CDTF">2025-08-20T12:47:00Z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