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081F" w14:textId="77777777" w:rsidR="00BF2EB7" w:rsidRPr="0039526F" w:rsidRDefault="00BF2EB7" w:rsidP="00BF2EB7">
      <w:pPr>
        <w:jc w:val="center"/>
        <w:rPr>
          <w:sz w:val="44"/>
          <w:szCs w:val="44"/>
          <w:lang w:eastAsia="cs-CZ"/>
        </w:rPr>
      </w:pPr>
      <w:r w:rsidRPr="0039526F">
        <w:rPr>
          <w:sz w:val="44"/>
          <w:szCs w:val="44"/>
          <w:lang w:eastAsia="cs-CZ"/>
        </w:rPr>
        <w:t>Veřejná zakázka</w:t>
      </w:r>
    </w:p>
    <w:p w14:paraId="2B1D4263" w14:textId="77777777" w:rsidR="00BF2EB7" w:rsidRDefault="00BF2EB7" w:rsidP="00BF2EB7">
      <w:pPr>
        <w:rPr>
          <w:lang w:eastAsia="cs-CZ"/>
        </w:rPr>
      </w:pPr>
    </w:p>
    <w:p w14:paraId="1C88A17D" w14:textId="22049F5D" w:rsidR="00BF2EB7" w:rsidRPr="0039526F" w:rsidRDefault="00BF2EB7" w:rsidP="00BF2EB7">
      <w:pPr>
        <w:jc w:val="center"/>
        <w:rPr>
          <w:b/>
          <w:bCs/>
          <w:sz w:val="32"/>
          <w:szCs w:val="32"/>
          <w:lang w:eastAsia="cs-CZ"/>
        </w:rPr>
      </w:pPr>
      <w:r w:rsidRPr="0039526F">
        <w:rPr>
          <w:b/>
          <w:bCs/>
          <w:sz w:val="32"/>
          <w:szCs w:val="32"/>
          <w:lang w:eastAsia="cs-CZ"/>
        </w:rPr>
        <w:t>„Zvýšení kybernetické bezpečnosti města Pelhřimov</w:t>
      </w:r>
      <w:r>
        <w:rPr>
          <w:b/>
          <w:bCs/>
          <w:sz w:val="32"/>
          <w:szCs w:val="32"/>
          <w:lang w:eastAsia="cs-CZ"/>
        </w:rPr>
        <w:t xml:space="preserve"> – část A</w:t>
      </w:r>
      <w:r w:rsidRPr="0039526F">
        <w:rPr>
          <w:b/>
          <w:bCs/>
          <w:sz w:val="32"/>
          <w:szCs w:val="32"/>
          <w:lang w:eastAsia="cs-CZ"/>
        </w:rPr>
        <w:t>“</w:t>
      </w:r>
    </w:p>
    <w:p w14:paraId="40A803DD" w14:textId="77777777" w:rsidR="00BF2EB7" w:rsidRDefault="00BF2EB7" w:rsidP="00BF2EB7">
      <w:pPr>
        <w:rPr>
          <w:b/>
          <w:lang w:eastAsia="cs-CZ"/>
        </w:rPr>
      </w:pPr>
    </w:p>
    <w:p w14:paraId="08A90BC2" w14:textId="77777777" w:rsidR="00BF2EB7" w:rsidRDefault="00BF2EB7" w:rsidP="00BF2EB7">
      <w:pPr>
        <w:rPr>
          <w:b/>
          <w:lang w:eastAsia="cs-CZ"/>
        </w:rPr>
      </w:pPr>
    </w:p>
    <w:p w14:paraId="5834B61E" w14:textId="77777777" w:rsidR="00BF2EB7" w:rsidRDefault="00BF2EB7" w:rsidP="00BF2EB7">
      <w:pPr>
        <w:rPr>
          <w:b/>
          <w:lang w:eastAsia="cs-CZ"/>
        </w:rPr>
      </w:pPr>
    </w:p>
    <w:p w14:paraId="793B6FEA" w14:textId="77777777" w:rsidR="00BF2EB7" w:rsidRPr="00BF2EB7" w:rsidRDefault="00BF2EB7" w:rsidP="00BF2EB7">
      <w:pPr>
        <w:rPr>
          <w:b/>
          <w:sz w:val="28"/>
          <w:szCs w:val="28"/>
          <w:lang w:eastAsia="cs-CZ"/>
        </w:rPr>
      </w:pPr>
      <w:r w:rsidRPr="00BF2EB7">
        <w:rPr>
          <w:b/>
          <w:sz w:val="28"/>
          <w:szCs w:val="28"/>
          <w:lang w:eastAsia="cs-CZ"/>
        </w:rPr>
        <w:t>Zadavatel:</w:t>
      </w:r>
    </w:p>
    <w:p w14:paraId="0129AC4C" w14:textId="77777777" w:rsidR="00BF2EB7" w:rsidRPr="00050486" w:rsidRDefault="00BF2EB7" w:rsidP="00BF2EB7">
      <w:pPr>
        <w:rPr>
          <w:lang w:eastAsia="cs-CZ"/>
        </w:rPr>
      </w:pPr>
      <w:r w:rsidRPr="00050486">
        <w:rPr>
          <w:b/>
          <w:lang w:eastAsia="cs-CZ"/>
        </w:rPr>
        <w:br/>
        <w:t>Město Pelhřimov</w:t>
      </w:r>
      <w:r w:rsidRPr="00050486">
        <w:rPr>
          <w:b/>
          <w:lang w:eastAsia="cs-CZ"/>
        </w:rPr>
        <w:br/>
      </w:r>
      <w:r w:rsidRPr="00050486">
        <w:rPr>
          <w:lang w:eastAsia="cs-CZ"/>
        </w:rPr>
        <w:t>se sídlem Pelhřimov, Masarykovo náměstí 1, PSČ 393 01 </w:t>
      </w:r>
      <w:r w:rsidRPr="00050486">
        <w:rPr>
          <w:lang w:eastAsia="cs-CZ"/>
        </w:rPr>
        <w:br/>
        <w:t>IČO:</w:t>
      </w:r>
      <w:r w:rsidRPr="00050486">
        <w:t xml:space="preserve"> </w:t>
      </w:r>
      <w:r w:rsidRPr="00050486">
        <w:rPr>
          <w:lang w:eastAsia="cs-CZ"/>
        </w:rPr>
        <w:t>00248801</w:t>
      </w:r>
      <w:r w:rsidRPr="00050486">
        <w:rPr>
          <w:lang w:eastAsia="cs-CZ"/>
        </w:rPr>
        <w:br/>
        <w:t>DIČ: CZ00248801</w:t>
      </w:r>
    </w:p>
    <w:p w14:paraId="36C392C9" w14:textId="77777777" w:rsidR="00BF2EB7" w:rsidRDefault="00BF2EB7" w:rsidP="00BF2EB7">
      <w:pPr>
        <w:rPr>
          <w:lang w:eastAsia="cs-CZ"/>
        </w:rPr>
      </w:pPr>
      <w:r w:rsidRPr="00050486">
        <w:rPr>
          <w:lang w:eastAsia="cs-CZ"/>
        </w:rPr>
        <w:t>Osoba zastupující zadavatele</w:t>
      </w:r>
      <w:r>
        <w:rPr>
          <w:lang w:eastAsia="cs-CZ"/>
        </w:rPr>
        <w:t>: Ladislav Med</w:t>
      </w:r>
      <w:r w:rsidRPr="00050486">
        <w:rPr>
          <w:lang w:eastAsia="cs-CZ"/>
        </w:rPr>
        <w:t xml:space="preserve">, </w:t>
      </w:r>
      <w:r>
        <w:rPr>
          <w:lang w:eastAsia="cs-CZ"/>
        </w:rPr>
        <w:t>starosta</w:t>
      </w:r>
    </w:p>
    <w:p w14:paraId="07E30530" w14:textId="77777777" w:rsidR="00BF2EB7" w:rsidRDefault="00BF2EB7" w:rsidP="00BF2EB7">
      <w:pPr>
        <w:rPr>
          <w:lang w:eastAsia="cs-CZ"/>
        </w:rPr>
      </w:pPr>
    </w:p>
    <w:p w14:paraId="2B4AAB0D" w14:textId="77777777" w:rsidR="00BF2EB7" w:rsidRDefault="00BF2EB7" w:rsidP="00BF2EB7">
      <w:pPr>
        <w:rPr>
          <w:lang w:eastAsia="cs-CZ"/>
        </w:rPr>
      </w:pPr>
    </w:p>
    <w:p w14:paraId="6A90D66E" w14:textId="77777777" w:rsidR="00BF2EB7" w:rsidRPr="00050486" w:rsidRDefault="00BF2EB7" w:rsidP="00BF2EB7">
      <w:pPr>
        <w:rPr>
          <w:lang w:eastAsia="cs-CZ"/>
        </w:rPr>
      </w:pPr>
    </w:p>
    <w:p w14:paraId="517F2974" w14:textId="77777777" w:rsidR="00BF2EB7" w:rsidRPr="00050486" w:rsidRDefault="00BF2EB7" w:rsidP="00BF2EB7">
      <w:pPr>
        <w:rPr>
          <w:lang w:eastAsia="cs-CZ"/>
        </w:rPr>
      </w:pPr>
    </w:p>
    <w:p w14:paraId="16662BC6" w14:textId="407FD9C0" w:rsidR="00BF2EB7" w:rsidRPr="0039526F" w:rsidRDefault="00BF2EB7" w:rsidP="00BF2EB7">
      <w:pPr>
        <w:jc w:val="center"/>
        <w:rPr>
          <w:sz w:val="44"/>
          <w:szCs w:val="44"/>
          <w:lang w:eastAsia="cs-CZ"/>
        </w:rPr>
      </w:pPr>
      <w:r>
        <w:rPr>
          <w:sz w:val="44"/>
          <w:szCs w:val="44"/>
          <w:lang w:eastAsia="cs-CZ"/>
        </w:rPr>
        <w:t>Detailní specifikace předmětu plnění</w:t>
      </w:r>
    </w:p>
    <w:p w14:paraId="488A9A91" w14:textId="77777777" w:rsidR="00BF2EB7" w:rsidRDefault="00BF2EB7">
      <w:pPr>
        <w:rPr>
          <w:b/>
          <w:bCs/>
        </w:rPr>
      </w:pPr>
      <w:r>
        <w:rPr>
          <w:b/>
          <w:bCs/>
        </w:rPr>
        <w:br w:type="page"/>
      </w:r>
    </w:p>
    <w:p w14:paraId="485B640F" w14:textId="1F7E39A7" w:rsidR="00BF2EB7" w:rsidRDefault="00BF2EB7" w:rsidP="00BF2EB7">
      <w:pPr>
        <w:pStyle w:val="Nadpis1"/>
        <w:widowControl w:val="0"/>
        <w:spacing w:before="480" w:after="0" w:line="320" w:lineRule="atLeast"/>
        <w:jc w:val="both"/>
        <w:rPr>
          <w:rFonts w:asciiTheme="minorHAnsi" w:eastAsia="Calibri" w:hAnsiTheme="minorHAnsi" w:cstheme="minorHAnsi"/>
          <w:b/>
          <w:bCs/>
          <w:color w:val="000000"/>
          <w:kern w:val="0"/>
          <w:sz w:val="32"/>
          <w:szCs w:val="28"/>
          <w14:ligatures w14:val="none"/>
        </w:rPr>
      </w:pPr>
      <w:r w:rsidRPr="00BF2EB7">
        <w:rPr>
          <w:rFonts w:asciiTheme="minorHAnsi" w:eastAsia="Calibri" w:hAnsiTheme="minorHAnsi" w:cstheme="minorHAnsi"/>
          <w:b/>
          <w:bCs/>
          <w:color w:val="000000"/>
          <w:kern w:val="0"/>
          <w:sz w:val="32"/>
          <w:szCs w:val="28"/>
          <w14:ligatures w14:val="none"/>
        </w:rPr>
        <w:lastRenderedPageBreak/>
        <w:t>Rozsah služeb</w:t>
      </w:r>
    </w:p>
    <w:p w14:paraId="4CC7179D" w14:textId="77777777" w:rsidR="00BF2EB7" w:rsidRDefault="00BF2EB7" w:rsidP="00BF2EB7"/>
    <w:p w14:paraId="30ED369B" w14:textId="0F5D62AD" w:rsidR="00BF2EB7" w:rsidRDefault="00BF2EB7" w:rsidP="00BF2EB7">
      <w:pPr>
        <w:rPr>
          <w:rFonts w:eastAsia="Times New Roman"/>
        </w:rPr>
      </w:pPr>
      <w:r>
        <w:t>Předmětem plnění této části veřejné zakázky</w:t>
      </w:r>
      <w:r w:rsidR="00CF43A9">
        <w:t xml:space="preserve"> je</w:t>
      </w:r>
      <w:r>
        <w:t xml:space="preserve"> </w:t>
      </w:r>
      <w:r w:rsidRPr="004022E9">
        <w:rPr>
          <w:rFonts w:eastAsia="Times New Roman"/>
        </w:rPr>
        <w:t>objektivn</w:t>
      </w:r>
      <w:r>
        <w:t>í a nezávislé</w:t>
      </w:r>
      <w:r w:rsidRPr="004022E9">
        <w:rPr>
          <w:rFonts w:eastAsia="Times New Roman"/>
        </w:rPr>
        <w:t xml:space="preserve"> zmapov</w:t>
      </w:r>
      <w:r>
        <w:t>ání</w:t>
      </w:r>
      <w:r w:rsidRPr="004022E9">
        <w:rPr>
          <w:rFonts w:eastAsia="Times New Roman"/>
        </w:rPr>
        <w:t xml:space="preserve"> aktuální</w:t>
      </w:r>
      <w:r>
        <w:t>ho</w:t>
      </w:r>
      <w:r w:rsidRPr="004022E9">
        <w:rPr>
          <w:rFonts w:eastAsia="Times New Roman"/>
        </w:rPr>
        <w:t xml:space="preserve"> stav</w:t>
      </w:r>
      <w:r>
        <w:t>u</w:t>
      </w:r>
      <w:r w:rsidRPr="004022E9">
        <w:rPr>
          <w:rFonts w:eastAsia="Times New Roman"/>
        </w:rPr>
        <w:t xml:space="preserve"> kybernetické bezpečnosti informačních systémů </w:t>
      </w:r>
      <w:r>
        <w:t>města</w:t>
      </w:r>
      <w:r w:rsidRPr="004022E9">
        <w:rPr>
          <w:rFonts w:eastAsia="Times New Roman"/>
        </w:rPr>
        <w:t xml:space="preserve">, </w:t>
      </w:r>
      <w:r>
        <w:t>identifikace</w:t>
      </w:r>
      <w:r w:rsidRPr="004022E9">
        <w:rPr>
          <w:rFonts w:eastAsia="Times New Roman"/>
        </w:rPr>
        <w:t xml:space="preserve"> </w:t>
      </w:r>
      <w:r>
        <w:t>mezer</w:t>
      </w:r>
      <w:r w:rsidRPr="004022E9">
        <w:rPr>
          <w:rFonts w:eastAsia="Times New Roman"/>
        </w:rPr>
        <w:t xml:space="preserve"> vůči legislativním požadavkům (ZoKB, NIS 2, GDPR) a následně ověřit technologickou odolnost prostřednictvím cílených penetračních testů</w:t>
      </w:r>
      <w:r w:rsidR="00F72199">
        <w:rPr>
          <w:rFonts w:eastAsia="Times New Roman"/>
        </w:rPr>
        <w:t>, v rozsahu:</w:t>
      </w:r>
    </w:p>
    <w:p w14:paraId="318D5812" w14:textId="77777777" w:rsidR="00BF2EB7" w:rsidRPr="00BF2EB7" w:rsidRDefault="00BF2EB7" w:rsidP="00BF2EB7"/>
    <w:p w14:paraId="751A6C63" w14:textId="77777777" w:rsidR="00BF2EB7" w:rsidRPr="00BF2EB7" w:rsidRDefault="00BF2EB7" w:rsidP="00BF2EB7">
      <w:r w:rsidRPr="00BF2EB7">
        <w:rPr>
          <w:b/>
          <w:bCs/>
        </w:rPr>
        <w:t>2.1 Vstupní audit a základní analýza</w:t>
      </w:r>
    </w:p>
    <w:p w14:paraId="11BD031C" w14:textId="77777777" w:rsidR="00BF2EB7" w:rsidRPr="00BF2EB7" w:rsidRDefault="00BF2EB7" w:rsidP="00BF2EB7">
      <w:pPr>
        <w:numPr>
          <w:ilvl w:val="0"/>
          <w:numId w:val="1"/>
        </w:numPr>
      </w:pPr>
      <w:r w:rsidRPr="00BF2EB7">
        <w:t>Analýza politik, směrnic, procesů a dokumentace systému řízení informační bezpečnosti (ISMS).</w:t>
      </w:r>
    </w:p>
    <w:p w14:paraId="1B2D0771" w14:textId="77777777" w:rsidR="00BF2EB7" w:rsidRPr="00BF2EB7" w:rsidRDefault="00BF2EB7" w:rsidP="00BF2EB7">
      <w:pPr>
        <w:numPr>
          <w:ilvl w:val="0"/>
          <w:numId w:val="1"/>
        </w:numPr>
      </w:pPr>
      <w:r w:rsidRPr="00BF2EB7">
        <w:t>Interview a workshopy s klíčovými pracovníky (IT, management) k popsání aktuálního stavu.</w:t>
      </w:r>
    </w:p>
    <w:p w14:paraId="29832B5B" w14:textId="77777777" w:rsidR="00BF2EB7" w:rsidRPr="00BF2EB7" w:rsidRDefault="00BF2EB7" w:rsidP="00BF2EB7">
      <w:pPr>
        <w:numPr>
          <w:ilvl w:val="0"/>
          <w:numId w:val="1"/>
        </w:numPr>
      </w:pPr>
      <w:r w:rsidRPr="00BF2EB7">
        <w:t>Provedení základního skenování technické infrastruktury – interní i externí – pro zjištění zranitelností.</w:t>
      </w:r>
    </w:p>
    <w:p w14:paraId="28230978" w14:textId="77777777" w:rsidR="00BF2EB7" w:rsidRPr="00BF2EB7" w:rsidRDefault="00BF2EB7" w:rsidP="00BF2EB7">
      <w:r w:rsidRPr="00BF2EB7">
        <w:rPr>
          <w:b/>
          <w:bCs/>
        </w:rPr>
        <w:t>2.2 GAP analýza</w:t>
      </w:r>
    </w:p>
    <w:p w14:paraId="632EF80A" w14:textId="77777777" w:rsidR="00BF2EB7" w:rsidRPr="00BF2EB7" w:rsidRDefault="00BF2EB7" w:rsidP="00BF2EB7">
      <w:pPr>
        <w:numPr>
          <w:ilvl w:val="0"/>
          <w:numId w:val="2"/>
        </w:numPr>
      </w:pPr>
      <w:r w:rsidRPr="00BF2EB7">
        <w:t>Porovnání stavu s požadavky ZoKB, NIS 2, GDPR, dobrými standardy (CIS v8, ISO 27001, NIST).</w:t>
      </w:r>
    </w:p>
    <w:p w14:paraId="1BEE815C" w14:textId="77777777" w:rsidR="00BF2EB7" w:rsidRPr="00BF2EB7" w:rsidRDefault="00BF2EB7" w:rsidP="00BF2EB7">
      <w:pPr>
        <w:numPr>
          <w:ilvl w:val="0"/>
          <w:numId w:val="2"/>
        </w:numPr>
      </w:pPr>
      <w:r w:rsidRPr="00BF2EB7">
        <w:t>Identifikace mezer v procesech, technologiích, fyzickém zabezpečení a v dokumentaci.</w:t>
      </w:r>
    </w:p>
    <w:p w14:paraId="27E56537" w14:textId="77777777" w:rsidR="00BF2EB7" w:rsidRPr="00BF2EB7" w:rsidRDefault="00BF2EB7" w:rsidP="00BF2EB7">
      <w:pPr>
        <w:numPr>
          <w:ilvl w:val="0"/>
          <w:numId w:val="2"/>
        </w:numPr>
      </w:pPr>
      <w:r w:rsidRPr="00BF2EB7">
        <w:t>Vypracování přehledného reportu s rizikovými ohledy, hodnocením dopadu a prioritizací.</w:t>
      </w:r>
    </w:p>
    <w:p w14:paraId="2668AAB3" w14:textId="77777777" w:rsidR="00BF2EB7" w:rsidRPr="00BF2EB7" w:rsidRDefault="00BF2EB7" w:rsidP="00BF2EB7">
      <w:pPr>
        <w:numPr>
          <w:ilvl w:val="0"/>
          <w:numId w:val="2"/>
        </w:numPr>
      </w:pPr>
      <w:r w:rsidRPr="00BF2EB7">
        <w:t>Navržení konkrétních nápravných opatření (technická i organizační), včetně návrhu úprav dokumentace a doporučení cílového stavu.</w:t>
      </w:r>
    </w:p>
    <w:p w14:paraId="186965F4" w14:textId="77777777" w:rsidR="00BF2EB7" w:rsidRPr="00BF2EB7" w:rsidRDefault="00BF2EB7" w:rsidP="00BF2EB7">
      <w:r w:rsidRPr="00BF2EB7">
        <w:rPr>
          <w:b/>
          <w:bCs/>
        </w:rPr>
        <w:t>2.3 Penetrační testy</w:t>
      </w:r>
    </w:p>
    <w:p w14:paraId="1E78FBB6" w14:textId="77777777" w:rsidR="00BF2EB7" w:rsidRPr="00BF2EB7" w:rsidRDefault="00BF2EB7" w:rsidP="00BF2EB7">
      <w:pPr>
        <w:numPr>
          <w:ilvl w:val="0"/>
          <w:numId w:val="3"/>
        </w:numPr>
      </w:pPr>
      <w:r w:rsidRPr="00BF2EB7">
        <w:t>Prověření externího perimetru (internetové přístupy, VPN, firewall, veřejné IP služby).</w:t>
      </w:r>
    </w:p>
    <w:p w14:paraId="225D4631" w14:textId="77777777" w:rsidR="00BF2EB7" w:rsidRPr="00BF2EB7" w:rsidRDefault="00BF2EB7" w:rsidP="00BF2EB7">
      <w:pPr>
        <w:numPr>
          <w:ilvl w:val="0"/>
          <w:numId w:val="3"/>
        </w:numPr>
      </w:pPr>
      <w:r w:rsidRPr="00BF2EB7">
        <w:t>Interní testování – simulace útoků z vnitřní sítě, testy Wi</w:t>
      </w:r>
      <w:r w:rsidRPr="00BF2EB7">
        <w:noBreakHyphen/>
        <w:t>Fi, přístupových práv a bezpečnostního nastavení koncových stanic.</w:t>
      </w:r>
    </w:p>
    <w:p w14:paraId="6F5A8DCE" w14:textId="77777777" w:rsidR="00BF2EB7" w:rsidRPr="00BF2EB7" w:rsidRDefault="00BF2EB7" w:rsidP="00BF2EB7">
      <w:pPr>
        <w:numPr>
          <w:ilvl w:val="0"/>
          <w:numId w:val="3"/>
        </w:numPr>
      </w:pPr>
      <w:r w:rsidRPr="00BF2EB7">
        <w:t>Testování webových aplikací a veřejných portálů.</w:t>
      </w:r>
    </w:p>
    <w:p w14:paraId="7FFF0707" w14:textId="226670FF" w:rsidR="00BF2EB7" w:rsidRPr="00BF2EB7" w:rsidRDefault="00BF2EB7" w:rsidP="00BF2EB7">
      <w:pPr>
        <w:numPr>
          <w:ilvl w:val="0"/>
          <w:numId w:val="3"/>
        </w:numPr>
      </w:pPr>
      <w:r w:rsidRPr="00BF2EB7">
        <w:t xml:space="preserve">Vypracování detailní </w:t>
      </w:r>
      <w:r>
        <w:t>Z</w:t>
      </w:r>
      <w:r w:rsidRPr="00BF2EB7">
        <w:t xml:space="preserve">právy </w:t>
      </w:r>
      <w:r>
        <w:t>z penetračních testů</w:t>
      </w:r>
      <w:r w:rsidRPr="00BF2EB7">
        <w:t xml:space="preserve">: </w:t>
      </w:r>
      <w:r>
        <w:t>identifikace a detailní popis</w:t>
      </w:r>
      <w:r w:rsidRPr="00BF2EB7">
        <w:t xml:space="preserve"> zranitelností, reprodukce, dopady, urgentnost oprav a doporučení mitigací.</w:t>
      </w:r>
    </w:p>
    <w:p w14:paraId="75BD86A9" w14:textId="77777777" w:rsidR="00BF2EB7" w:rsidRPr="00BF2EB7" w:rsidRDefault="00BF2EB7" w:rsidP="00BF2EB7">
      <w:r w:rsidRPr="00BF2EB7">
        <w:rPr>
          <w:b/>
          <w:bCs/>
        </w:rPr>
        <w:t>2.4 Výstupy</w:t>
      </w:r>
    </w:p>
    <w:p w14:paraId="02E3E9A0" w14:textId="77777777" w:rsidR="00BF2EB7" w:rsidRPr="00BF2EB7" w:rsidRDefault="00BF2EB7" w:rsidP="00BF2EB7">
      <w:pPr>
        <w:numPr>
          <w:ilvl w:val="0"/>
          <w:numId w:val="4"/>
        </w:numPr>
      </w:pPr>
      <w:r w:rsidRPr="00BF2EB7">
        <w:t>Kompletní dokument „Vstupní audit a GAP analýza“ s popisem metodiky, zjištění, rizik a doporučení.</w:t>
      </w:r>
    </w:p>
    <w:p w14:paraId="7C8645B6" w14:textId="213374AD" w:rsidR="00BF2EB7" w:rsidRPr="00BF2EB7" w:rsidRDefault="00BF2EB7" w:rsidP="00BF2EB7">
      <w:pPr>
        <w:numPr>
          <w:ilvl w:val="0"/>
          <w:numId w:val="4"/>
        </w:numPr>
      </w:pPr>
      <w:r w:rsidRPr="00BF2EB7">
        <w:t xml:space="preserve">Samostatná </w:t>
      </w:r>
      <w:r>
        <w:t xml:space="preserve">Zpráva z penetračního testování </w:t>
      </w:r>
      <w:r w:rsidRPr="00BF2EB7">
        <w:t>s technickými anatomiemi útoků, ukázkami exploitů a navrženými řešeními.</w:t>
      </w:r>
    </w:p>
    <w:p w14:paraId="462D45DD" w14:textId="77777777" w:rsidR="00BF2EB7" w:rsidRPr="00BF2EB7" w:rsidRDefault="00BF2EB7" w:rsidP="00BF2EB7">
      <w:pPr>
        <w:numPr>
          <w:ilvl w:val="0"/>
          <w:numId w:val="4"/>
        </w:numPr>
      </w:pPr>
      <w:r w:rsidRPr="00BF2EB7">
        <w:t>Přehledný akční plán (Roadmapa) s popisy kroků pro implementaci opatření a stanovenými prioritami.</w:t>
      </w:r>
    </w:p>
    <w:p w14:paraId="51DE0BAC" w14:textId="77777777" w:rsidR="00BF2EB7" w:rsidRPr="00BF2EB7" w:rsidRDefault="00BF2EB7" w:rsidP="00BF2EB7">
      <w:pPr>
        <w:rPr>
          <w:b/>
          <w:bCs/>
        </w:rPr>
      </w:pPr>
      <w:r w:rsidRPr="00BF2EB7">
        <w:rPr>
          <w:b/>
          <w:bCs/>
        </w:rPr>
        <w:lastRenderedPageBreak/>
        <w:t>3. Standardy, rámce a metodické přístupy</w:t>
      </w:r>
    </w:p>
    <w:p w14:paraId="4E729DE6" w14:textId="77777777" w:rsidR="00BF2EB7" w:rsidRPr="00BF2EB7" w:rsidRDefault="00BF2EB7" w:rsidP="00BF2EB7">
      <w:r w:rsidRPr="00BF2EB7">
        <w:t>Zpracování bude vycházet z prověřených přístupů a norem:</w:t>
      </w:r>
    </w:p>
    <w:p w14:paraId="1E206749" w14:textId="77777777" w:rsidR="00BF2EB7" w:rsidRPr="00BF2EB7" w:rsidRDefault="00BF2EB7" w:rsidP="00BF2EB7">
      <w:pPr>
        <w:numPr>
          <w:ilvl w:val="0"/>
          <w:numId w:val="5"/>
        </w:numPr>
      </w:pPr>
      <w:r w:rsidRPr="00BF2EB7">
        <w:t>CIS Controls v8, ISO 27001, NIST, ZoKB, NIS 2, GDPR.</w:t>
      </w:r>
    </w:p>
    <w:p w14:paraId="5C27101E" w14:textId="77777777" w:rsidR="00BF2EB7" w:rsidRPr="00BF2EB7" w:rsidRDefault="00BF2EB7" w:rsidP="00BF2EB7">
      <w:pPr>
        <w:numPr>
          <w:ilvl w:val="0"/>
          <w:numId w:val="5"/>
        </w:numPr>
      </w:pPr>
      <w:r w:rsidRPr="00BF2EB7">
        <w:t>OWASP pro webové aplikace, metodika OWASP Test Guide pro penetrační testy.</w:t>
      </w:r>
    </w:p>
    <w:p w14:paraId="61A23C5E" w14:textId="77777777" w:rsidR="00BF2EB7" w:rsidRPr="00BF2EB7" w:rsidRDefault="00BF2EB7" w:rsidP="00BF2EB7">
      <w:pPr>
        <w:numPr>
          <w:ilvl w:val="0"/>
          <w:numId w:val="5"/>
        </w:numPr>
      </w:pPr>
      <w:r w:rsidRPr="00BF2EB7">
        <w:t>Skenování dle CVSS, rizikové matice.</w:t>
      </w:r>
    </w:p>
    <w:p w14:paraId="27289821" w14:textId="77777777" w:rsidR="00874542" w:rsidRDefault="00874542"/>
    <w:p w14:paraId="7D53F833" w14:textId="77777777" w:rsidR="00BA1F3D" w:rsidRPr="006C4B88" w:rsidRDefault="00BA1F3D" w:rsidP="00BA1F3D">
      <w:pPr>
        <w:rPr>
          <w:b/>
          <w:bCs/>
        </w:rPr>
      </w:pPr>
      <w:r w:rsidRPr="006C4B88">
        <w:rPr>
          <w:b/>
          <w:bCs/>
        </w:rPr>
        <w:t>Forma předání výstupů:</w:t>
      </w:r>
    </w:p>
    <w:p w14:paraId="1965C5A6" w14:textId="77777777" w:rsidR="00BA1F3D" w:rsidRPr="006C4B88" w:rsidRDefault="00BA1F3D" w:rsidP="00BA1F3D">
      <w:pPr>
        <w:numPr>
          <w:ilvl w:val="0"/>
          <w:numId w:val="6"/>
        </w:numPr>
      </w:pPr>
      <w:r w:rsidRPr="006C4B88">
        <w:t xml:space="preserve">Výstupy budou zpracovány v </w:t>
      </w:r>
      <w:r w:rsidRPr="006C4B88">
        <w:rPr>
          <w:b/>
          <w:bCs/>
        </w:rPr>
        <w:t>českém jazyce</w:t>
      </w:r>
      <w:r w:rsidRPr="006C4B88">
        <w:t>, v elektronické i listinné podobě.</w:t>
      </w:r>
    </w:p>
    <w:p w14:paraId="705C345D" w14:textId="77777777" w:rsidR="00BA1F3D" w:rsidRPr="006C4B88" w:rsidRDefault="00BA1F3D" w:rsidP="00BA1F3D">
      <w:pPr>
        <w:numPr>
          <w:ilvl w:val="0"/>
          <w:numId w:val="6"/>
        </w:numPr>
      </w:pPr>
      <w:r w:rsidRPr="006C4B88">
        <w:t xml:space="preserve">Elektronická verze bude dodána ve formátu </w:t>
      </w:r>
      <w:r w:rsidRPr="006C4B88">
        <w:rPr>
          <w:b/>
          <w:bCs/>
        </w:rPr>
        <w:t>PDF a DOCX/ODT</w:t>
      </w:r>
      <w:r w:rsidRPr="006C4B88">
        <w:t>, auditní protokoly budou podepsány autorizovaným auditorem.</w:t>
      </w:r>
    </w:p>
    <w:p w14:paraId="1C51C36E" w14:textId="77777777" w:rsidR="00BA1F3D" w:rsidRPr="006C4B88" w:rsidRDefault="00BA1F3D" w:rsidP="00BA1F3D">
      <w:pPr>
        <w:numPr>
          <w:ilvl w:val="0"/>
          <w:numId w:val="6"/>
        </w:numPr>
      </w:pPr>
      <w:r w:rsidRPr="006C4B88">
        <w:t xml:space="preserve">Součástí bude i stručné </w:t>
      </w:r>
      <w:r w:rsidRPr="006C4B88">
        <w:rPr>
          <w:b/>
          <w:bCs/>
        </w:rPr>
        <w:t>shrnutí závěrů pro účely dotačního monitoringu</w:t>
      </w:r>
      <w:r w:rsidRPr="006C4B88">
        <w:t>.</w:t>
      </w:r>
    </w:p>
    <w:p w14:paraId="1B5DECD9" w14:textId="77777777" w:rsidR="00BA1F3D" w:rsidRDefault="00BA1F3D"/>
    <w:sectPr w:rsidR="00BA1F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11CB" w14:textId="77777777" w:rsidR="00133002" w:rsidRDefault="00133002" w:rsidP="00837C63">
      <w:pPr>
        <w:spacing w:after="0" w:line="240" w:lineRule="auto"/>
      </w:pPr>
      <w:r>
        <w:separator/>
      </w:r>
    </w:p>
  </w:endnote>
  <w:endnote w:type="continuationSeparator" w:id="0">
    <w:p w14:paraId="1E383CF3" w14:textId="77777777" w:rsidR="00133002" w:rsidRDefault="00133002" w:rsidP="0083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74EA" w14:textId="77777777" w:rsidR="00133002" w:rsidRDefault="00133002" w:rsidP="00837C63">
      <w:pPr>
        <w:spacing w:after="0" w:line="240" w:lineRule="auto"/>
      </w:pPr>
      <w:r>
        <w:separator/>
      </w:r>
    </w:p>
  </w:footnote>
  <w:footnote w:type="continuationSeparator" w:id="0">
    <w:p w14:paraId="1027DEBA" w14:textId="77777777" w:rsidR="00133002" w:rsidRDefault="00133002" w:rsidP="0083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837C63" w14:paraId="0ADCD04C" w14:textId="77777777" w:rsidTr="00086B5F">
      <w:tc>
        <w:tcPr>
          <w:tcW w:w="3020" w:type="dxa"/>
          <w:vAlign w:val="center"/>
        </w:tcPr>
        <w:p w14:paraId="0DAF649D" w14:textId="77777777" w:rsidR="00837C63" w:rsidRDefault="00837C63" w:rsidP="00837C63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41A5BA20" wp14:editId="0BCDB9B0">
                <wp:extent cx="1351280" cy="607695"/>
                <wp:effectExtent l="0" t="0" r="1270" b="1905"/>
                <wp:docPr id="1070673495" name="Obrázek 1070673495" descr="Obsah obrázku Písmo, Grafika, logo, symbol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673495" name="Obrázek 1070673495" descr="Obsah obrázku Písmo, Grafika, logo, symbol&#10;&#10;Obsah generovaný pomocí AI může být nesprávný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1CB38ED0" w14:textId="77777777" w:rsidR="00837C63" w:rsidRDefault="00837C63" w:rsidP="00837C63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378863A8" wp14:editId="6E594471">
                <wp:extent cx="1672590" cy="447675"/>
                <wp:effectExtent l="0" t="0" r="3810" b="9525"/>
                <wp:docPr id="1764897167" name="Obrázek 1764897167" descr="Obsah obrázku text, Písmo, Elektricky modrá, modrá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897167" name="Obrázek 1764897167" descr="Obsah obrázku text, Písmo, Elektricky modrá, modrá&#10;&#10;Obsah generovaný pomocí AI může být nesprávný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2F7A88BF" w14:textId="77777777" w:rsidR="00837C63" w:rsidRDefault="00837C63" w:rsidP="00837C63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45348401" wp14:editId="0AB8E48C">
                <wp:extent cx="1839595" cy="503555"/>
                <wp:effectExtent l="0" t="0" r="8255" b="0"/>
                <wp:docPr id="951674776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2F9CF8" w14:textId="77777777" w:rsidR="00837C63" w:rsidRDefault="00837C63" w:rsidP="00837C63">
    <w:pPr>
      <w:pStyle w:val="Zhlav"/>
    </w:pPr>
  </w:p>
  <w:p w14:paraId="714B31FA" w14:textId="77777777" w:rsidR="00837C63" w:rsidRDefault="00837C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F96"/>
    <w:multiLevelType w:val="multilevel"/>
    <w:tmpl w:val="D26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965B1"/>
    <w:multiLevelType w:val="multilevel"/>
    <w:tmpl w:val="FFC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A0AB4"/>
    <w:multiLevelType w:val="multilevel"/>
    <w:tmpl w:val="900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9430D"/>
    <w:multiLevelType w:val="multilevel"/>
    <w:tmpl w:val="28D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241CD"/>
    <w:multiLevelType w:val="multilevel"/>
    <w:tmpl w:val="2DB8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E0868"/>
    <w:multiLevelType w:val="multilevel"/>
    <w:tmpl w:val="474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629833">
    <w:abstractNumId w:val="5"/>
  </w:num>
  <w:num w:numId="2" w16cid:durableId="1543247696">
    <w:abstractNumId w:val="1"/>
  </w:num>
  <w:num w:numId="3" w16cid:durableId="1438405053">
    <w:abstractNumId w:val="0"/>
  </w:num>
  <w:num w:numId="4" w16cid:durableId="625700887">
    <w:abstractNumId w:val="4"/>
  </w:num>
  <w:num w:numId="5" w16cid:durableId="393703587">
    <w:abstractNumId w:val="2"/>
  </w:num>
  <w:num w:numId="6" w16cid:durableId="1068844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7"/>
    <w:rsid w:val="00133002"/>
    <w:rsid w:val="002C57E7"/>
    <w:rsid w:val="00374570"/>
    <w:rsid w:val="00837C63"/>
    <w:rsid w:val="00874542"/>
    <w:rsid w:val="009A525D"/>
    <w:rsid w:val="00BA1F3D"/>
    <w:rsid w:val="00BE0EC9"/>
    <w:rsid w:val="00BF2EB7"/>
    <w:rsid w:val="00CF43A9"/>
    <w:rsid w:val="00EB6EDE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2D10"/>
  <w15:chartTrackingRefBased/>
  <w15:docId w15:val="{8CBA92BC-D7DE-4F10-BF3F-1220CEC3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2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2E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2E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2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2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2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2E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2E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2E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2E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2E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2EB7"/>
    <w:rPr>
      <w:b/>
      <w:bCs/>
      <w:smallCaps/>
      <w:color w:val="2F5496" w:themeColor="accent1" w:themeShade="BF"/>
      <w:spacing w:val="5"/>
    </w:rPr>
  </w:style>
  <w:style w:type="paragraph" w:customStyle="1" w:styleId="ZKLADN">
    <w:name w:val="ZÁKLADNÍ"/>
    <w:basedOn w:val="Zkladntext"/>
    <w:link w:val="ZKLADNChar"/>
    <w:rsid w:val="00BF2EB7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color w:val="000000"/>
      <w:sz w:val="24"/>
      <w:szCs w:val="20"/>
      <w:lang w:val="x-none" w:eastAsia="x-none"/>
    </w:rPr>
  </w:style>
  <w:style w:type="character" w:customStyle="1" w:styleId="ZKLADNChar">
    <w:name w:val="ZÁKLADNÍ Char"/>
    <w:link w:val="ZKLADN"/>
    <w:rsid w:val="00BF2EB7"/>
    <w:rPr>
      <w:rFonts w:ascii="Garamond" w:eastAsia="Times New Roman" w:hAnsi="Garamond" w:cs="Times New Roman"/>
      <w:color w:val="000000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2E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2EB7"/>
  </w:style>
  <w:style w:type="paragraph" w:styleId="Zhlav">
    <w:name w:val="header"/>
    <w:aliases w:val=" Char"/>
    <w:basedOn w:val="Normln"/>
    <w:link w:val="ZhlavChar"/>
    <w:uiPriority w:val="99"/>
    <w:unhideWhenUsed/>
    <w:rsid w:val="0083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"/>
    <w:basedOn w:val="Standardnpsmoodstavce"/>
    <w:link w:val="Zhlav"/>
    <w:uiPriority w:val="99"/>
    <w:rsid w:val="00837C63"/>
  </w:style>
  <w:style w:type="paragraph" w:styleId="Zpat">
    <w:name w:val="footer"/>
    <w:basedOn w:val="Normln"/>
    <w:link w:val="ZpatChar"/>
    <w:uiPriority w:val="99"/>
    <w:unhideWhenUsed/>
    <w:rsid w:val="0083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C63"/>
  </w:style>
  <w:style w:type="table" w:styleId="Mkatabulky">
    <w:name w:val="Table Grid"/>
    <w:basedOn w:val="Normlntabulka"/>
    <w:uiPriority w:val="39"/>
    <w:rsid w:val="00837C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dc:description/>
  <cp:lastModifiedBy>Libor Soška</cp:lastModifiedBy>
  <cp:revision>5</cp:revision>
  <dcterms:created xsi:type="dcterms:W3CDTF">2025-06-23T17:27:00Z</dcterms:created>
  <dcterms:modified xsi:type="dcterms:W3CDTF">2025-07-17T07:19:00Z</dcterms:modified>
</cp:coreProperties>
</file>