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116"/>
        <w:rPr>
          <w:rFonts w:ascii="Times New Roman" w:cs="Times New Roman" w:eastAsia="Arial" w:hAnsi="Times New Roman"/>
        </w:rPr>
      </w:pPr>
    </w:p>
    <w:p>
      <w:pPr>
        <w:pStyle w:val="style4116"/>
        <w:rPr>
          <w:rFonts w:ascii="Times New Roman" w:cs="Times New Roman" w:eastAsia="Arial" w:hAnsi="Times New Roman"/>
        </w:rPr>
      </w:pPr>
    </w:p>
    <w:p>
      <w:pPr>
        <w:pStyle w:val="style4116"/>
        <w:jc w:val="center"/>
        <w:rPr>
          <w:rFonts w:ascii="Times New Roman" w:cs="Times New Roman" w:eastAsia="Arial" w:hAnsi="Times New Roman"/>
        </w:rPr>
      </w:pPr>
      <w:r>
        <w:rPr>
          <w:rFonts w:ascii="Times New Roman" w:cs="Times New Roman" w:eastAsia="Arial" w:hAnsi="Times New Roman"/>
        </w:rPr>
        <w:t>Verejné obstarávanie realizované podľa zákona č. 343/2015 Z. z. o verejnom obstarávaní a o zmene a doplnení niektorých zákonov v znení neskorších predpisov (ďalej len „ZVO“).</w:t>
      </w:r>
    </w:p>
    <w:p>
      <w:pPr>
        <w:pStyle w:val="style4116"/>
        <w:jc w:val="center"/>
        <w:rPr>
          <w:rFonts w:ascii="Times New Roman" w:cs="Times New Roman" w:hAnsi="Times New Roman"/>
        </w:rPr>
      </w:pPr>
    </w:p>
    <w:p>
      <w:pPr>
        <w:pStyle w:val="style0"/>
        <w:spacing w:lineRule="auto" w:line="276"/>
        <w:jc w:val="center"/>
        <w:rPr/>
      </w:pPr>
    </w:p>
    <w:p>
      <w:pPr>
        <w:pStyle w:val="style0"/>
        <w:spacing w:lineRule="auto" w:line="276"/>
        <w:jc w:val="both"/>
        <w:rPr/>
      </w:pPr>
    </w:p>
    <w:p>
      <w:pPr>
        <w:pStyle w:val="style0"/>
        <w:spacing w:lineRule="auto" w:line="276"/>
        <w:jc w:val="center"/>
        <w:rPr/>
      </w:pPr>
      <w:r>
        <w:rPr>
          <w:noProof/>
        </w:rPr>
        <w:drawing>
          <wp:inline distL="0" distT="0" distB="0" distR="0">
            <wp:extent cx="2876819" cy="2882900"/>
            <wp:effectExtent l="0" t="0" r="0" b="0"/>
            <wp:docPr id="1026" name="Obrázok 2" descr="Obrázok, na ktorom je grafika, pestrofarebnosť, snímka obrazovky, kruh&#10;&#10;Obsah vygenerovaný pomocou AI môže byť nesprávn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Obrázok 2"/>
                    <pic:cNvPicPr/>
                  </pic:nvPicPr>
                  <pic:blipFill>
                    <a:blip r:embed="rId2" cstate="print"/>
                    <a:srcRect l="0" t="0" r="0" b="0"/>
                    <a:stretch/>
                  </pic:blipFill>
                  <pic:spPr>
                    <a:xfrm rot="0">
                      <a:off x="0" y="0"/>
                      <a:ext cx="2876819" cy="2882900"/>
                    </a:xfrm>
                    <a:prstGeom prst="rect"/>
                  </pic:spPr>
                </pic:pic>
              </a:graphicData>
            </a:graphic>
          </wp:inline>
        </w:drawing>
      </w:r>
    </w:p>
    <w:p>
      <w:pPr>
        <w:pStyle w:val="style0"/>
        <w:spacing w:lineRule="auto" w:line="276"/>
        <w:jc w:val="both"/>
        <w:rPr/>
      </w:pPr>
    </w:p>
    <w:p>
      <w:pPr>
        <w:pStyle w:val="style0"/>
        <w:spacing w:before="160" w:after="120" w:lineRule="auto" w:line="276"/>
        <w:jc w:val="center"/>
        <w:rPr>
          <w:rFonts w:ascii="Calibri Light" w:cs="Calibri Light" w:hAnsi="Calibri Light"/>
          <w:bCs/>
          <w:sz w:val="40"/>
          <w:szCs w:val="40"/>
        </w:rPr>
      </w:pPr>
      <w:r>
        <w:rPr>
          <w:rFonts w:ascii="Calibri Light" w:cs="Calibri Light" w:hAnsi="Calibri Light"/>
          <w:bCs/>
          <w:sz w:val="40"/>
          <w:szCs w:val="40"/>
        </w:rPr>
        <w:t>SÚŤAŽNÉ PODKLADY</w:t>
      </w:r>
    </w:p>
    <w:p>
      <w:pPr>
        <w:pStyle w:val="style0"/>
        <w:spacing w:before="160"/>
        <w:jc w:val="center"/>
        <w:rPr>
          <w:bCs/>
        </w:rPr>
      </w:pPr>
      <w:r>
        <w:rPr>
          <w:rFonts w:ascii="Calibri Light" w:cs="Calibri Light" w:hAnsi="Calibri Light"/>
          <w:bCs/>
          <w:sz w:val="40"/>
          <w:szCs w:val="40"/>
        </w:rPr>
        <w:t>k zriadeniu dynamického nákupného systému s názvom</w:t>
      </w:r>
    </w:p>
    <w:p>
      <w:pPr>
        <w:pStyle w:val="style0"/>
        <w:jc w:val="center"/>
        <w:rPr>
          <w:rFonts w:ascii="Calibri Light" w:cs="Calibri Light" w:hAnsi="Calibri Light"/>
          <w:bCs/>
          <w:sz w:val="40"/>
          <w:szCs w:val="40"/>
        </w:rPr>
      </w:pPr>
      <w:r>
        <w:rPr>
          <w:rFonts w:ascii="Calibri Light" w:cs="Calibri Light" w:hAnsi="Calibri Light"/>
          <w:bCs/>
          <w:sz w:val="40"/>
          <w:szCs w:val="40"/>
        </w:rPr>
        <w:t>„Zabezpečenie centrálneho nákupu hygienických potrieb pre Hlavné mesto SR Bratislava a ďalšie subjekty“</w:t>
      </w:r>
    </w:p>
    <w:p>
      <w:pPr>
        <w:pStyle w:val="style0"/>
        <w:spacing w:before="160"/>
        <w:jc w:val="center"/>
        <w:rPr>
          <w:rFonts w:ascii="Calibri Light" w:cs="Calibri Light" w:hAnsi="Calibri Light"/>
          <w:bCs/>
          <w:sz w:val="40"/>
          <w:szCs w:val="40"/>
        </w:rPr>
      </w:pPr>
    </w:p>
    <w:p>
      <w:pPr>
        <w:pStyle w:val="style0"/>
        <w:spacing w:before="160"/>
        <w:jc w:val="center"/>
        <w:rPr>
          <w:rFonts w:ascii="Calibri" w:cs="Calibri" w:hAnsi="Calibri"/>
          <w:b/>
          <w:color w:val="2f5496"/>
          <w:sz w:val="28"/>
          <w:szCs w:val="28"/>
        </w:rPr>
      </w:pPr>
    </w:p>
    <w:p>
      <w:pPr>
        <w:pStyle w:val="style0"/>
        <w:spacing w:lineRule="auto" w:line="276"/>
        <w:rPr/>
      </w:pPr>
    </w:p>
    <w:p>
      <w:pPr>
        <w:pStyle w:val="style0"/>
        <w:autoSpaceDE w:val="false"/>
        <w:autoSpaceDN w:val="false"/>
        <w:adjustRightInd w:val="false"/>
        <w:rPr>
          <w:color w:val="000000"/>
          <w:sz w:val="20"/>
          <w:szCs w:val="20"/>
        </w:rPr>
      </w:pPr>
      <w:r>
        <w:rPr>
          <w:color w:val="000000"/>
          <w:sz w:val="20"/>
          <w:szCs w:val="20"/>
        </w:rPr>
        <w:t xml:space="preserve">Súlad súťažných podkladov so ZVO: </w:t>
      </w:r>
    </w:p>
    <w:p>
      <w:pPr>
        <w:pStyle w:val="style0"/>
        <w:autoSpaceDE w:val="false"/>
        <w:autoSpaceDN w:val="false"/>
        <w:adjustRightInd w:val="false"/>
        <w:rPr>
          <w:color w:val="000000"/>
          <w:sz w:val="20"/>
          <w:szCs w:val="20"/>
        </w:rPr>
      </w:pPr>
    </w:p>
    <w:p>
      <w:pPr>
        <w:pStyle w:val="style0"/>
        <w:autoSpaceDE w:val="false"/>
        <w:autoSpaceDN w:val="false"/>
        <w:adjustRightInd w:val="false"/>
        <w:rPr>
          <w:color w:val="000000"/>
          <w:sz w:val="20"/>
          <w:szCs w:val="20"/>
        </w:rPr>
      </w:pPr>
    </w:p>
    <w:p>
      <w:pPr>
        <w:pStyle w:val="style0"/>
        <w:tabs>
          <w:tab w:val="center" w:leader="none" w:pos="7088"/>
        </w:tabs>
        <w:autoSpaceDE w:val="false"/>
        <w:autoSpaceDN w:val="false"/>
        <w:adjustRightInd w:val="false"/>
        <w:rPr>
          <w:color w:val="000000"/>
          <w:sz w:val="20"/>
          <w:szCs w:val="20"/>
        </w:rPr>
      </w:pPr>
      <w:r>
        <w:rPr>
          <w:color w:val="000000"/>
          <w:sz w:val="20"/>
          <w:szCs w:val="20"/>
        </w:rPr>
        <w:tab/>
      </w:r>
      <w:r>
        <w:rPr>
          <w:color w:val="000000"/>
          <w:sz w:val="20"/>
          <w:szCs w:val="20"/>
        </w:rPr>
        <w:t>..............................................</w:t>
      </w:r>
    </w:p>
    <w:p>
      <w:pPr>
        <w:pStyle w:val="style0"/>
        <w:tabs>
          <w:tab w:val="center" w:leader="none" w:pos="7088"/>
        </w:tabs>
        <w:autoSpaceDE w:val="false"/>
        <w:autoSpaceDN w:val="false"/>
        <w:adjustRightInd w:val="false"/>
        <w:rPr>
          <w:color w:val="000000"/>
          <w:sz w:val="20"/>
          <w:szCs w:val="20"/>
        </w:rPr>
      </w:pPr>
      <w:r>
        <w:rPr>
          <w:color w:val="000000"/>
          <w:sz w:val="20"/>
          <w:szCs w:val="20"/>
        </w:rPr>
        <w:tab/>
      </w:r>
      <w:r>
        <w:rPr>
          <w:color w:val="000000"/>
          <w:sz w:val="20"/>
          <w:szCs w:val="20"/>
        </w:rPr>
        <w:t>Martin Nociar</w:t>
      </w:r>
    </w:p>
    <w:p>
      <w:pPr>
        <w:pStyle w:val="style0"/>
        <w:tabs>
          <w:tab w:val="center" w:leader="none" w:pos="7088"/>
        </w:tabs>
        <w:autoSpaceDE w:val="false"/>
        <w:autoSpaceDN w:val="false"/>
        <w:adjustRightInd w:val="false"/>
        <w:rPr>
          <w:color w:val="000000"/>
          <w:sz w:val="20"/>
          <w:szCs w:val="20"/>
        </w:rPr>
      </w:pPr>
      <w:r>
        <w:rPr>
          <w:color w:val="000000"/>
          <w:sz w:val="20"/>
          <w:szCs w:val="20"/>
        </w:rPr>
        <w:tab/>
      </w:r>
      <w:r>
        <w:rPr>
          <w:color w:val="000000"/>
          <w:sz w:val="20"/>
          <w:szCs w:val="20"/>
        </w:rPr>
        <w:t>špecialista verejného obstarávania</w:t>
      </w:r>
    </w:p>
    <w:p>
      <w:pPr>
        <w:pStyle w:val="style0"/>
        <w:spacing w:lineRule="auto" w:line="276"/>
        <w:rPr/>
      </w:pPr>
    </w:p>
    <w:p>
      <w:pPr>
        <w:pStyle w:val="style0"/>
        <w:spacing w:lineRule="auto" w:line="276"/>
        <w:rPr/>
      </w:pPr>
    </w:p>
    <w:p>
      <w:pPr>
        <w:pStyle w:val="style0"/>
        <w:spacing w:lineRule="auto" w:line="276"/>
        <w:jc w:val="both"/>
        <w:rPr>
          <w:sz w:val="20"/>
          <w:szCs w:val="20"/>
        </w:rPr>
      </w:pPr>
      <w:r>
        <w:rPr>
          <w:sz w:val="20"/>
          <w:szCs w:val="20"/>
        </w:rPr>
        <w:t>Za verejného obstarávateľa Bratislavské centrum služieb:</w:t>
      </w:r>
    </w:p>
    <w:p>
      <w:pPr>
        <w:pStyle w:val="style0"/>
        <w:spacing w:lineRule="auto" w:line="276"/>
        <w:jc w:val="both"/>
        <w:rPr>
          <w:sz w:val="20"/>
          <w:szCs w:val="20"/>
        </w:rPr>
      </w:pPr>
    </w:p>
    <w:p>
      <w:pPr>
        <w:pStyle w:val="style0"/>
        <w:tabs>
          <w:tab w:val="center" w:leader="none" w:pos="7088"/>
        </w:tabs>
        <w:jc w:val="both"/>
        <w:rPr>
          <w:sz w:val="20"/>
          <w:szCs w:val="20"/>
        </w:rPr>
      </w:pPr>
    </w:p>
    <w:p>
      <w:pPr>
        <w:pStyle w:val="style0"/>
        <w:tabs>
          <w:tab w:val="center" w:leader="none" w:pos="7088"/>
        </w:tabs>
        <w:jc w:val="both"/>
        <w:rPr>
          <w:sz w:val="20"/>
          <w:szCs w:val="20"/>
        </w:rPr>
      </w:pPr>
      <w:r>
        <w:rPr>
          <w:sz w:val="20"/>
          <w:szCs w:val="20"/>
        </w:rPr>
        <w:tab/>
      </w:r>
      <w:r>
        <w:rPr>
          <w:sz w:val="20"/>
          <w:szCs w:val="20"/>
        </w:rPr>
        <w:t>..............................................</w:t>
      </w:r>
    </w:p>
    <w:p>
      <w:pPr>
        <w:pStyle w:val="style0"/>
        <w:tabs>
          <w:tab w:val="center" w:leader="none" w:pos="7088"/>
        </w:tabs>
        <w:jc w:val="both"/>
        <w:rPr>
          <w:sz w:val="20"/>
          <w:szCs w:val="20"/>
        </w:rPr>
      </w:pPr>
      <w:r>
        <w:rPr>
          <w:sz w:val="20"/>
          <w:szCs w:val="20"/>
        </w:rPr>
        <w:tab/>
      </w:r>
      <w:r>
        <w:rPr>
          <w:sz w:val="20"/>
          <w:szCs w:val="20"/>
        </w:rPr>
        <w:t xml:space="preserve">Mgr. Michal Garaj </w:t>
      </w:r>
    </w:p>
    <w:p>
      <w:pPr>
        <w:pStyle w:val="style0"/>
        <w:tabs>
          <w:tab w:val="center" w:leader="none" w:pos="7088"/>
        </w:tabs>
        <w:rPr>
          <w:sz w:val="20"/>
          <w:szCs w:val="20"/>
        </w:rPr>
      </w:pPr>
      <w:r>
        <w:rPr>
          <w:sz w:val="20"/>
          <w:szCs w:val="20"/>
        </w:rPr>
        <w:tab/>
      </w:r>
      <w:r>
        <w:rPr>
          <w:sz w:val="20"/>
          <w:szCs w:val="20"/>
        </w:rPr>
        <w:t>vedúci oddelenia verejného obstarávania</w:t>
      </w:r>
    </w:p>
    <w:p>
      <w:pPr>
        <w:pStyle w:val="style266"/>
        <w:rPr>
          <w:rFonts w:ascii="Calibri Light" w:cs="Calibri Light" w:hAnsi="Calibri Light"/>
          <w:b/>
          <w:bCs/>
          <w:color w:val="0000cc"/>
        </w:rPr>
      </w:pPr>
      <w:r>
        <w:rPr>
          <w:rFonts w:ascii="Calibri Light" w:cs="Calibri Light" w:hAnsi="Calibri Light"/>
          <w:color w:val="0000cc"/>
        </w:rPr>
        <w:t>Obsah</w:t>
      </w:r>
    </w:p>
    <w:p>
      <w:pPr>
        <w:pStyle w:val="style20"/>
        <w:rPr>
          <w:rFonts w:ascii="Calibri" w:cs="SimSun" w:eastAsia="SimSun" w:hAnsi="Calibri"/>
          <w:noProof/>
          <w:kern w:val="2"/>
          <w:szCs w:val="24"/>
          <w:lang w:eastAsia="sk-SK"/>
          <w14:ligatures xmlns:w14="http://schemas.microsoft.com/office/word/2010/wordml" w14:val="standardContextual"/>
        </w:rPr>
      </w:pPr>
      <w:r>
        <w:rPr>
          <w:b/>
          <w:bCs/>
        </w:rPr>
        <w:fldChar w:fldCharType="begin"/>
      </w:r>
      <w:r>
        <w:rPr>
          <w:b/>
          <w:bCs/>
        </w:rPr>
        <w:instrText xml:space="preserve"> TOC \o "1-3" \h \z \u </w:instrText>
      </w:r>
      <w:r>
        <w:rPr>
          <w:b/>
          <w:bCs/>
        </w:rPr>
        <w:fldChar w:fldCharType="separate"/>
      </w:r>
      <w:r>
        <w:rPr/>
        <w:fldChar w:fldCharType="begin"/>
      </w:r>
      <w:r>
        <w:instrText xml:space="preserve"> HYPERLINK \l "_Toc204781402" </w:instrText>
      </w:r>
      <w:r>
        <w:rPr/>
        <w:fldChar w:fldCharType="separate"/>
      </w:r>
      <w:r>
        <w:rPr>
          <w:rStyle w:val="style85"/>
          <w:noProof/>
        </w:rPr>
        <w:t>1.</w:t>
      </w:r>
      <w:r>
        <w:rPr>
          <w:rFonts w:ascii="Calibri" w:cs="SimSun" w:eastAsia="SimSun" w:hAnsi="Calibri"/>
          <w:noProof/>
          <w:kern w:val="2"/>
          <w:szCs w:val="24"/>
          <w:lang w:eastAsia="sk-SK"/>
          <w14:ligatures xmlns:w14="http://schemas.microsoft.com/office/word/2010/wordml" w14:val="standardContextual"/>
        </w:rPr>
        <w:tab/>
      </w:r>
      <w:r>
        <w:rPr>
          <w:rStyle w:val="style85"/>
          <w:noProof/>
        </w:rPr>
        <w:t>Identifikácia verejného obstarávateľa</w:t>
      </w:r>
      <w:r>
        <w:rPr>
          <w:noProof/>
          <w:webHidden/>
        </w:rPr>
        <w:tab/>
      </w:r>
      <w:r>
        <w:rPr>
          <w:noProof/>
          <w:webHidden/>
        </w:rPr>
        <w:fldChar w:fldCharType="begin"/>
      </w:r>
      <w:r>
        <w:rPr>
          <w:noProof/>
          <w:webHidden/>
        </w:rPr>
        <w:instrText xml:space="preserve"> PAGEREF _Toc204781402 \h </w:instrText>
      </w:r>
      <w:r>
        <w:rPr>
          <w:noProof/>
          <w:webHidden/>
        </w:rPr>
        <w:fldChar w:fldCharType="separate"/>
      </w:r>
      <w:r>
        <w:rPr>
          <w:noProof/>
          <w:webHidden/>
        </w:rPr>
        <w:t>3</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"_Toc204781403" </w:instrText>
      </w:r>
      <w:r>
        <w:rPr/>
        <w:fldChar w:fldCharType="separate"/>
      </w:r>
      <w:r>
        <w:rPr>
          <w:rStyle w:val="style85"/>
          <w:noProof/>
        </w:rPr>
        <w:t>2.</w:t>
      </w:r>
      <w:r>
        <w:rPr>
          <w:rFonts w:ascii="Calibri" w:cs="SimSun" w:eastAsia="SimSun" w:hAnsi="Calibri"/>
          <w:noProof/>
          <w:kern w:val="2"/>
          <w:szCs w:val="24"/>
          <w:lang w:eastAsia="sk-SK"/>
          <w14:ligatures xmlns:w14="http://schemas.microsoft.com/office/word/2010/wordml" w14:val="standardContextual"/>
        </w:rPr>
        <w:tab/>
      </w:r>
      <w:r>
        <w:rPr>
          <w:rStyle w:val="style85"/>
          <w:noProof/>
        </w:rPr>
        <w:t>Úvodné informácie o DNS</w:t>
      </w:r>
      <w:r>
        <w:rPr>
          <w:noProof/>
          <w:webHidden/>
        </w:rPr>
        <w:tab/>
      </w:r>
      <w:r>
        <w:rPr>
          <w:noProof/>
          <w:webHidden/>
        </w:rPr>
        <w:fldChar w:fldCharType="begin"/>
      </w:r>
      <w:r>
        <w:rPr>
          <w:noProof/>
          <w:webHidden/>
        </w:rPr>
        <w:instrText xml:space="preserve"> PAGEREF _Toc204781403 \h </w:instrText>
      </w:r>
      <w:r>
        <w:rPr>
          <w:noProof/>
          <w:webHidden/>
        </w:rPr>
        <w:fldChar w:fldCharType="separate"/>
      </w:r>
      <w:r>
        <w:rPr>
          <w:noProof/>
          <w:webHidden/>
        </w:rPr>
        <w:t>3</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"_Toc204781404" </w:instrText>
      </w:r>
      <w:r>
        <w:rPr/>
        <w:fldChar w:fldCharType="separate"/>
      </w:r>
      <w:r>
        <w:rPr>
          <w:rStyle w:val="style85"/>
          <w:noProof/>
        </w:rPr>
        <w:t>3.</w:t>
      </w:r>
      <w:r>
        <w:rPr>
          <w:rFonts w:ascii="Calibri" w:cs="SimSun" w:eastAsia="SimSun" w:hAnsi="Calibri"/>
          <w:noProof/>
          <w:kern w:val="2"/>
          <w:szCs w:val="24"/>
          <w:lang w:eastAsia="sk-SK"/>
          <w14:ligatures xmlns:w14="http://schemas.microsoft.com/office/word/2010/wordml" w14:val="standardContextual"/>
        </w:rPr>
        <w:tab/>
      </w:r>
      <w:r>
        <w:rPr>
          <w:rStyle w:val="style85"/>
          <w:noProof/>
        </w:rPr>
        <w:t>Opis predmetu zákazky</w:t>
      </w:r>
      <w:r>
        <w:rPr>
          <w:noProof/>
          <w:webHidden/>
        </w:rPr>
        <w:tab/>
      </w:r>
      <w:r>
        <w:rPr>
          <w:noProof/>
          <w:webHidden/>
        </w:rPr>
        <w:fldChar w:fldCharType="begin"/>
      </w:r>
      <w:r>
        <w:rPr>
          <w:noProof/>
          <w:webHidden/>
        </w:rPr>
        <w:instrText xml:space="preserve"> PAGEREF _Toc204781404 \h </w:instrText>
      </w:r>
      <w:r>
        <w:rPr>
          <w:noProof/>
          <w:webHidden/>
        </w:rPr>
        <w:fldChar w:fldCharType="separate"/>
      </w:r>
      <w:r>
        <w:rPr>
          <w:noProof/>
          <w:webHidden/>
        </w:rPr>
        <w:t>4</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"_Toc204781405" </w:instrText>
      </w:r>
      <w:r>
        <w:rPr/>
        <w:fldChar w:fldCharType="separate"/>
      </w:r>
      <w:r>
        <w:rPr>
          <w:rStyle w:val="style85"/>
          <w:noProof/>
        </w:rPr>
        <w:t>4.</w:t>
      </w:r>
      <w:r>
        <w:rPr>
          <w:rFonts w:ascii="Calibri" w:cs="SimSun" w:eastAsia="SimSun" w:hAnsi="Calibri"/>
          <w:noProof/>
          <w:kern w:val="2"/>
          <w:szCs w:val="24"/>
          <w:lang w:eastAsia="sk-SK"/>
          <w14:ligatures xmlns:w14="http://schemas.microsoft.com/office/word/2010/wordml" w14:val="standardContextual"/>
        </w:rPr>
        <w:tab/>
      </w:r>
      <w:r>
        <w:rPr>
          <w:rStyle w:val="style85"/>
          <w:noProof/>
        </w:rPr>
        <w:t>Komunikácia a vysvetľovanie</w:t>
      </w:r>
      <w:r>
        <w:rPr>
          <w:noProof/>
          <w:webHidden/>
        </w:rPr>
        <w:tab/>
      </w:r>
      <w:r>
        <w:rPr>
          <w:noProof/>
          <w:webHidden/>
        </w:rPr>
        <w:fldChar w:fldCharType="begin"/>
      </w:r>
      <w:r>
        <w:rPr>
          <w:noProof/>
          <w:webHidden/>
        </w:rPr>
        <w:instrText xml:space="preserve"> PAGEREF _Toc204781405 \h </w:instrText>
      </w:r>
      <w:r>
        <w:rPr>
          <w:noProof/>
          <w:webHidden/>
        </w:rPr>
        <w:fldChar w:fldCharType="separate"/>
      </w:r>
      <w:r>
        <w:rPr>
          <w:noProof/>
          <w:webHidden/>
        </w:rPr>
        <w:t>4</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"_Toc204781406" </w:instrText>
      </w:r>
      <w:r>
        <w:rPr/>
        <w:fldChar w:fldCharType="separate"/>
      </w:r>
      <w:r>
        <w:rPr>
          <w:rStyle w:val="style85"/>
          <w:noProof/>
        </w:rPr>
        <w:t>5.</w:t>
      </w:r>
      <w:r>
        <w:rPr>
          <w:rFonts w:ascii="Calibri" w:cs="SimSun" w:eastAsia="SimSun" w:hAnsi="Calibri"/>
          <w:noProof/>
          <w:kern w:val="2"/>
          <w:szCs w:val="24"/>
          <w:lang w:eastAsia="sk-SK"/>
          <w14:ligatures xmlns:w14="http://schemas.microsoft.com/office/word/2010/wordml" w14:val="standardContextual"/>
        </w:rPr>
        <w:tab/>
      </w:r>
      <w:r>
        <w:rPr>
          <w:rStyle w:val="style85"/>
          <w:noProof/>
        </w:rPr>
        <w:t>Predkladanie žiadostí o zaradenie do DNS</w:t>
      </w:r>
      <w:r>
        <w:rPr>
          <w:noProof/>
          <w:webHidden/>
        </w:rPr>
        <w:tab/>
      </w:r>
      <w:r>
        <w:rPr>
          <w:noProof/>
          <w:webHidden/>
        </w:rPr>
        <w:fldChar w:fldCharType="begin"/>
      </w:r>
      <w:r>
        <w:rPr>
          <w:noProof/>
          <w:webHidden/>
        </w:rPr>
        <w:instrText xml:space="preserve"> PAGEREF _Toc204781406 \h </w:instrText>
      </w:r>
      <w:r>
        <w:rPr>
          <w:noProof/>
          <w:webHidden/>
        </w:rPr>
        <w:fldChar w:fldCharType="separate"/>
      </w:r>
      <w:r>
        <w:rPr>
          <w:noProof/>
          <w:webHidden/>
        </w:rPr>
        <w:t>5</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"_Toc204781407" </w:instrText>
      </w:r>
      <w:r>
        <w:rPr/>
        <w:fldChar w:fldCharType="separate"/>
      </w:r>
      <w:r>
        <w:rPr>
          <w:rStyle w:val="style85"/>
          <w:noProof/>
        </w:rPr>
        <w:t>6.</w:t>
      </w:r>
      <w:r>
        <w:rPr>
          <w:rFonts w:ascii="Calibri" w:cs="SimSun" w:eastAsia="SimSun" w:hAnsi="Calibri"/>
          <w:noProof/>
          <w:kern w:val="2"/>
          <w:szCs w:val="24"/>
          <w:lang w:eastAsia="sk-SK"/>
          <w14:ligatures xmlns:w14="http://schemas.microsoft.com/office/word/2010/wordml" w14:val="standardContextual"/>
        </w:rPr>
        <w:tab/>
      </w:r>
      <w:r>
        <w:rPr>
          <w:rStyle w:val="style85"/>
          <w:noProof/>
        </w:rPr>
        <w:t>Obsah žiadosti o zaradenie</w:t>
      </w:r>
      <w:r>
        <w:rPr>
          <w:noProof/>
          <w:webHidden/>
        </w:rPr>
        <w:tab/>
      </w:r>
      <w:r>
        <w:rPr>
          <w:noProof/>
          <w:webHidden/>
        </w:rPr>
        <w:fldChar w:fldCharType="begin"/>
      </w:r>
      <w:r>
        <w:rPr>
          <w:noProof/>
          <w:webHidden/>
        </w:rPr>
        <w:instrText xml:space="preserve"> PAGEREF _Toc204781407 \h </w:instrText>
      </w:r>
      <w:r>
        <w:rPr>
          <w:noProof/>
          <w:webHidden/>
        </w:rPr>
        <w:fldChar w:fldCharType="separate"/>
      </w:r>
      <w:r>
        <w:rPr>
          <w:noProof/>
          <w:webHidden/>
        </w:rPr>
        <w:t>5</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"_Toc204781408" </w:instrText>
      </w:r>
      <w:r>
        <w:rPr/>
        <w:fldChar w:fldCharType="separate"/>
      </w:r>
      <w:r>
        <w:rPr>
          <w:rStyle w:val="style85"/>
          <w:noProof/>
        </w:rPr>
        <w:t>7.</w:t>
      </w:r>
      <w:r>
        <w:rPr>
          <w:rFonts w:ascii="Calibri" w:cs="SimSun" w:eastAsia="SimSun" w:hAnsi="Calibri"/>
          <w:noProof/>
          <w:kern w:val="2"/>
          <w:szCs w:val="24"/>
          <w:lang w:eastAsia="sk-SK"/>
          <w14:ligatures xmlns:w14="http://schemas.microsoft.com/office/word/2010/wordml" w14:val="standardContextual"/>
        </w:rPr>
        <w:tab/>
      </w:r>
      <w:r>
        <w:rPr>
          <w:rStyle w:val="style85"/>
          <w:noProof/>
        </w:rPr>
        <w:t>Lehota na predkladanie žiadostí o zaradenie do DNS</w:t>
      </w:r>
      <w:r>
        <w:rPr>
          <w:noProof/>
          <w:webHidden/>
        </w:rPr>
        <w:tab/>
      </w:r>
      <w:r>
        <w:rPr>
          <w:noProof/>
          <w:webHidden/>
        </w:rPr>
        <w:fldChar w:fldCharType="begin"/>
      </w:r>
      <w:r>
        <w:rPr>
          <w:noProof/>
          <w:webHidden/>
        </w:rPr>
        <w:instrText xml:space="preserve"> PAGEREF _Toc204781408 \h </w:instrText>
      </w:r>
      <w:r>
        <w:rPr>
          <w:noProof/>
          <w:webHidden/>
        </w:rPr>
        <w:fldChar w:fldCharType="separate"/>
      </w:r>
      <w:r>
        <w:rPr>
          <w:noProof/>
          <w:webHidden/>
        </w:rPr>
        <w:t>6</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"_Toc204781409" </w:instrText>
      </w:r>
      <w:r>
        <w:rPr/>
        <w:fldChar w:fldCharType="separate"/>
      </w:r>
      <w:r>
        <w:rPr>
          <w:rStyle w:val="style85"/>
          <w:noProof/>
        </w:rPr>
        <w:t>8.</w:t>
      </w:r>
      <w:r>
        <w:rPr>
          <w:rFonts w:ascii="Calibri" w:cs="SimSun" w:eastAsia="SimSun" w:hAnsi="Calibri"/>
          <w:noProof/>
          <w:kern w:val="2"/>
          <w:szCs w:val="24"/>
          <w:lang w:eastAsia="sk-SK"/>
          <w14:ligatures xmlns:w14="http://schemas.microsoft.com/office/word/2010/wordml" w14:val="standardContextual"/>
        </w:rPr>
        <w:tab/>
      </w:r>
      <w:r>
        <w:rPr>
          <w:rStyle w:val="style85"/>
          <w:noProof/>
        </w:rPr>
        <w:t>Výzva na predkladanie ponúk v rámci zriadeného DNS</w:t>
      </w:r>
      <w:r>
        <w:rPr>
          <w:noProof/>
          <w:webHidden/>
        </w:rPr>
        <w:tab/>
      </w:r>
      <w:r>
        <w:rPr>
          <w:noProof/>
          <w:webHidden/>
        </w:rPr>
        <w:fldChar w:fldCharType="begin"/>
      </w:r>
      <w:r>
        <w:rPr>
          <w:noProof/>
          <w:webHidden/>
        </w:rPr>
        <w:instrText xml:space="preserve"> PAGEREF _Toc204781409 \h </w:instrText>
      </w:r>
      <w:r>
        <w:rPr>
          <w:noProof/>
          <w:webHidden/>
        </w:rPr>
        <w:fldChar w:fldCharType="separate"/>
      </w:r>
      <w:r>
        <w:rPr>
          <w:noProof/>
          <w:webHidden/>
        </w:rPr>
        <w:t>6</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"_Toc204781410" </w:instrText>
      </w:r>
      <w:r>
        <w:rPr/>
        <w:fldChar w:fldCharType="separate"/>
      </w:r>
      <w:r>
        <w:rPr>
          <w:rStyle w:val="style85"/>
          <w:noProof/>
        </w:rPr>
        <w:t>9.</w:t>
      </w:r>
      <w:r>
        <w:rPr>
          <w:rFonts w:ascii="Calibri" w:cs="SimSun" w:eastAsia="SimSun" w:hAnsi="Calibri"/>
          <w:noProof/>
          <w:kern w:val="2"/>
          <w:szCs w:val="24"/>
          <w:lang w:eastAsia="sk-SK"/>
          <w14:ligatures xmlns:w14="http://schemas.microsoft.com/office/word/2010/wordml" w14:val="standardContextual"/>
        </w:rPr>
        <w:tab/>
      </w:r>
      <w:r>
        <w:rPr>
          <w:rStyle w:val="style85"/>
          <w:noProof/>
        </w:rPr>
        <w:t>Lehota na predkladanie ponúk v rámci jednotlivých výziev</w:t>
      </w:r>
      <w:r>
        <w:rPr>
          <w:noProof/>
          <w:webHidden/>
        </w:rPr>
        <w:tab/>
      </w:r>
      <w:r>
        <w:rPr>
          <w:noProof/>
          <w:webHidden/>
        </w:rPr>
        <w:fldChar w:fldCharType="begin"/>
      </w:r>
      <w:r>
        <w:rPr>
          <w:noProof/>
          <w:webHidden/>
        </w:rPr>
        <w:instrText xml:space="preserve"> PAGEREF _Toc204781410 \h </w:instrText>
      </w:r>
      <w:r>
        <w:rPr>
          <w:noProof/>
          <w:webHidden/>
        </w:rPr>
        <w:fldChar w:fldCharType="separate"/>
      </w:r>
      <w:r>
        <w:rPr>
          <w:noProof/>
          <w:webHidden/>
        </w:rPr>
        <w:t>6</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"_Toc204781411" </w:instrText>
      </w:r>
      <w:r>
        <w:rPr/>
        <w:fldChar w:fldCharType="separate"/>
      </w:r>
      <w:r>
        <w:rPr>
          <w:rStyle w:val="style85"/>
          <w:noProof/>
        </w:rPr>
        <w:t>10.</w:t>
      </w:r>
      <w:r>
        <w:rPr>
          <w:rFonts w:ascii="Calibri" w:cs="SimSun" w:eastAsia="SimSun" w:hAnsi="Calibri"/>
          <w:noProof/>
          <w:kern w:val="2"/>
          <w:szCs w:val="24"/>
          <w:lang w:eastAsia="sk-SK"/>
          <w14:ligatures xmlns:w14="http://schemas.microsoft.com/office/word/2010/wordml" w14:val="standardContextual"/>
        </w:rPr>
        <w:tab/>
      </w:r>
      <w:r>
        <w:rPr>
          <w:rStyle w:val="style85"/>
          <w:noProof/>
        </w:rPr>
        <w:t>Dôvernosť verejného obstarávania</w:t>
      </w:r>
      <w:r>
        <w:rPr>
          <w:noProof/>
          <w:webHidden/>
        </w:rPr>
        <w:tab/>
      </w:r>
      <w:r>
        <w:rPr>
          <w:noProof/>
          <w:webHidden/>
        </w:rPr>
        <w:fldChar w:fldCharType="begin"/>
      </w:r>
      <w:r>
        <w:rPr>
          <w:noProof/>
          <w:webHidden/>
        </w:rPr>
        <w:instrText xml:space="preserve"> PAGEREF _Toc204781411 \h </w:instrText>
      </w:r>
      <w:r>
        <w:rPr>
          <w:noProof/>
          <w:webHidden/>
        </w:rPr>
        <w:fldChar w:fldCharType="separate"/>
      </w:r>
      <w:r>
        <w:rPr>
          <w:noProof/>
          <w:webHidden/>
        </w:rPr>
        <w:t>6</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"_Toc204781412" </w:instrText>
      </w:r>
      <w:r>
        <w:rPr/>
        <w:fldChar w:fldCharType="separate"/>
      </w:r>
      <w:r>
        <w:rPr>
          <w:rStyle w:val="style85"/>
          <w:noProof/>
        </w:rPr>
        <w:t>11.</w:t>
      </w:r>
      <w:r>
        <w:rPr>
          <w:rFonts w:ascii="Calibri" w:cs="SimSun" w:eastAsia="SimSun" w:hAnsi="Calibri"/>
          <w:noProof/>
          <w:kern w:val="2"/>
          <w:szCs w:val="24"/>
          <w:lang w:eastAsia="sk-SK"/>
          <w14:ligatures xmlns:w14="http://schemas.microsoft.com/office/word/2010/wordml" w14:val="standardContextual"/>
        </w:rPr>
        <w:tab/>
      </w:r>
      <w:r>
        <w:rPr>
          <w:rStyle w:val="style85"/>
          <w:noProof/>
        </w:rPr>
        <w:t>Preukazovanie splnenia podmienok účasti</w:t>
      </w:r>
      <w:r>
        <w:rPr>
          <w:noProof/>
          <w:webHidden/>
        </w:rPr>
        <w:tab/>
      </w:r>
      <w:r>
        <w:rPr>
          <w:noProof/>
          <w:webHidden/>
        </w:rPr>
        <w:fldChar w:fldCharType="begin"/>
      </w:r>
      <w:r>
        <w:rPr>
          <w:noProof/>
          <w:webHidden/>
        </w:rPr>
        <w:instrText xml:space="preserve"> PAGEREF _Toc204781412 \h </w:instrText>
      </w:r>
      <w:r>
        <w:rPr>
          <w:noProof/>
          <w:webHidden/>
        </w:rPr>
        <w:fldChar w:fldCharType="separate"/>
      </w:r>
      <w:r>
        <w:rPr>
          <w:noProof/>
          <w:webHidden/>
        </w:rPr>
        <w:t>6</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"_Toc204781413" </w:instrText>
      </w:r>
      <w:r>
        <w:rPr/>
        <w:fldChar w:fldCharType="separate"/>
      </w:r>
      <w:r>
        <w:rPr>
          <w:rStyle w:val="style85"/>
          <w:noProof/>
        </w:rPr>
        <w:t>12.</w:t>
      </w:r>
      <w:r>
        <w:rPr>
          <w:rFonts w:ascii="Calibri" w:cs="SimSun" w:eastAsia="SimSun" w:hAnsi="Calibri"/>
          <w:noProof/>
          <w:kern w:val="2"/>
          <w:szCs w:val="24"/>
          <w:lang w:eastAsia="sk-SK"/>
          <w14:ligatures xmlns:w14="http://schemas.microsoft.com/office/word/2010/wordml" w14:val="standardContextual"/>
        </w:rPr>
        <w:tab/>
      </w:r>
      <w:r>
        <w:rPr>
          <w:rStyle w:val="style85"/>
          <w:noProof/>
        </w:rPr>
        <w:t>Kritériá na vyhodnotenie ponúk pri zadávaní čiastkových zákaziek</w:t>
      </w:r>
      <w:r>
        <w:rPr>
          <w:noProof/>
          <w:webHidden/>
        </w:rPr>
        <w:tab/>
      </w:r>
      <w:r>
        <w:rPr>
          <w:noProof/>
          <w:webHidden/>
        </w:rPr>
        <w:fldChar w:fldCharType="begin"/>
      </w:r>
      <w:r>
        <w:rPr>
          <w:noProof/>
          <w:webHidden/>
        </w:rPr>
        <w:instrText xml:space="preserve"> PAGEREF _Toc204781413 \h </w:instrText>
      </w:r>
      <w:r>
        <w:rPr>
          <w:noProof/>
          <w:webHidden/>
        </w:rPr>
        <w:fldChar w:fldCharType="separate"/>
      </w:r>
      <w:r>
        <w:rPr>
          <w:noProof/>
          <w:webHidden/>
        </w:rPr>
        <w:t>8</w:t>
      </w:r>
      <w:r>
        <w:rPr>
          <w:noProof/>
          <w:webHidden/>
        </w:rPr>
        <w:fldChar w:fldCharType="end"/>
      </w:r>
      <w:r>
        <w:rPr/>
        <w:fldChar w:fldCharType="end"/>
      </w:r>
    </w:p>
    <w:p>
      <w:pPr>
        <w:pStyle w:val="style20"/>
        <w:ind w:left="0"/>
        <w:rPr>
          <w:b/>
          <w:bCs/>
          <w:u w:val="single"/>
        </w:rPr>
      </w:pPr>
      <w:r>
        <w:rPr>
          <w:b/>
          <w:bCs/>
        </w:rPr>
        <w:fldChar w:fldCharType="end"/>
      </w:r>
    </w:p>
    <w:p>
      <w:pPr>
        <w:pStyle w:val="style0"/>
        <w:rPr>
          <w:lang w:eastAsia="en-US"/>
        </w:rPr>
      </w:pPr>
    </w:p>
    <w:bookmarkStart w:id="0" w:name="_Toc488059693"/>
    <w:bookmarkStart w:id="1" w:name="_Toc21598216"/>
    <w:p>
      <w:pPr>
        <w:pStyle w:val="style0"/>
        <w:rPr>
          <w:rFonts w:ascii="Calibri Light" w:cs="Calibri Light" w:hAnsi="Calibri Light"/>
          <w:color w:val="0000cc"/>
          <w:sz w:val="32"/>
          <w:szCs w:val="32"/>
        </w:rPr>
      </w:pPr>
      <w:r>
        <w:rPr>
          <w:rFonts w:ascii="Calibri Light" w:cs="Calibri Light" w:hAnsi="Calibri Light"/>
          <w:color w:val="0000cc"/>
          <w:sz w:val="32"/>
          <w:szCs w:val="32"/>
        </w:rPr>
        <w:t>Prílohy</w:t>
      </w:r>
      <w:bookmarkEnd w:id="0"/>
      <w:bookmarkEnd w:id="1"/>
    </w:p>
    <w:p>
      <w:pPr>
        <w:pStyle w:val="style0"/>
        <w:autoSpaceDE w:val="false"/>
        <w:autoSpaceDN w:val="false"/>
        <w:adjustRightInd w:val="false"/>
        <w:spacing w:lineRule="auto" w:line="276"/>
        <w:jc w:val="both"/>
        <w:rPr>
          <w:bCs/>
          <w:color w:val="000000"/>
        </w:rPr>
      </w:pP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96"/>
        <w:gridCol w:w="7815"/>
      </w:tblGrid>
      <w:tr>
        <w:trPr/>
        <w:tc>
          <w:tcPr>
            <w:tcW w:w="1276" w:type="dxa"/>
            <w:tcBorders/>
          </w:tcPr>
          <w:p>
            <w:pPr>
              <w:pStyle w:val="style0"/>
              <w:autoSpaceDE w:val="false"/>
              <w:autoSpaceDN w:val="false"/>
              <w:adjustRightInd w:val="false"/>
              <w:spacing w:lineRule="auto" w:line="276"/>
              <w:ind w:left="-109"/>
              <w:jc w:val="both"/>
              <w:rPr>
                <w:bCs/>
                <w:color w:val="000000"/>
              </w:rPr>
            </w:pPr>
            <w:r>
              <w:t>Príloha č. 1</w:t>
            </w:r>
          </w:p>
        </w:tc>
        <w:tc>
          <w:tcPr>
            <w:tcW w:w="296" w:type="dxa"/>
            <w:tcBorders/>
          </w:tcPr>
          <w:p>
            <w:pPr>
              <w:pStyle w:val="style0"/>
              <w:autoSpaceDE w:val="false"/>
              <w:autoSpaceDN w:val="false"/>
              <w:adjustRightInd w:val="false"/>
              <w:spacing w:lineRule="auto" w:line="276"/>
              <w:ind w:left="-104" w:firstLine="104"/>
              <w:jc w:val="both"/>
              <w:rPr>
                <w:bCs/>
                <w:color w:val="000000"/>
              </w:rPr>
            </w:pPr>
            <w:r>
              <w:rPr>
                <w:bCs/>
                <w:color w:val="000000"/>
              </w:rPr>
              <w:t>-</w:t>
            </w:r>
          </w:p>
        </w:tc>
        <w:tc>
          <w:tcPr>
            <w:tcW w:w="7815" w:type="dxa"/>
            <w:tcBorders/>
          </w:tcPr>
          <w:p>
            <w:pPr>
              <w:pStyle w:val="style0"/>
              <w:autoSpaceDE w:val="false"/>
              <w:autoSpaceDN w:val="false"/>
              <w:adjustRightInd w:val="false"/>
              <w:spacing w:lineRule="auto" w:line="276"/>
              <w:jc w:val="both"/>
              <w:rPr>
                <w:bCs/>
                <w:color w:val="000000"/>
              </w:rPr>
            </w:pPr>
            <w:r>
              <w:t>Žiadosť o zaradenie do DNS</w:t>
            </w:r>
          </w:p>
        </w:tc>
      </w:tr>
      <w:tr>
        <w:tblPrEx/>
        <w:trPr/>
        <w:tc>
          <w:tcPr>
            <w:tcW w:w="1276" w:type="dxa"/>
            <w:tcBorders/>
          </w:tcPr>
          <w:p>
            <w:pPr>
              <w:pStyle w:val="style0"/>
              <w:autoSpaceDE w:val="false"/>
              <w:autoSpaceDN w:val="false"/>
              <w:adjustRightInd w:val="false"/>
              <w:spacing w:lineRule="auto" w:line="276"/>
              <w:ind w:left="-109"/>
              <w:jc w:val="both"/>
              <w:rPr>
                <w:bCs/>
                <w:color w:val="000000"/>
              </w:rPr>
            </w:pPr>
            <w:r>
              <w:t>Príloha č. 2</w:t>
            </w:r>
          </w:p>
        </w:tc>
        <w:tc>
          <w:tcPr>
            <w:tcW w:w="296" w:type="dxa"/>
            <w:tcBorders/>
          </w:tcPr>
          <w:p>
            <w:pPr>
              <w:pStyle w:val="style0"/>
              <w:autoSpaceDE w:val="false"/>
              <w:autoSpaceDN w:val="false"/>
              <w:adjustRightInd w:val="false"/>
              <w:spacing w:lineRule="auto" w:line="276"/>
              <w:ind w:left="-104" w:firstLine="104"/>
              <w:jc w:val="both"/>
              <w:rPr>
                <w:bCs/>
                <w:color w:val="000000"/>
              </w:rPr>
            </w:pPr>
            <w:r>
              <w:rPr>
                <w:bCs/>
                <w:color w:val="000000"/>
              </w:rPr>
              <w:t>-</w:t>
            </w:r>
          </w:p>
        </w:tc>
        <w:tc>
          <w:tcPr>
            <w:tcW w:w="7815" w:type="dxa"/>
            <w:tcBorders/>
          </w:tcPr>
          <w:p>
            <w:pPr>
              <w:pStyle w:val="style0"/>
              <w:autoSpaceDE w:val="false"/>
              <w:autoSpaceDN w:val="false"/>
              <w:adjustRightInd w:val="false"/>
              <w:spacing w:lineRule="auto" w:line="276"/>
              <w:jc w:val="both"/>
              <w:rPr>
                <w:bCs/>
                <w:color w:val="000000"/>
              </w:rPr>
            </w:pPr>
            <w:r>
              <w:t>Plnomocenstvo pre skupinu záujemcov</w:t>
            </w:r>
          </w:p>
        </w:tc>
      </w:tr>
      <w:tr>
        <w:tblPrEx/>
        <w:trPr/>
        <w:tc>
          <w:tcPr>
            <w:tcW w:w="1276" w:type="dxa"/>
            <w:tcBorders/>
          </w:tcPr>
          <w:p>
            <w:pPr>
              <w:pStyle w:val="style0"/>
              <w:autoSpaceDE w:val="false"/>
              <w:autoSpaceDN w:val="false"/>
              <w:adjustRightInd w:val="false"/>
              <w:spacing w:lineRule="auto" w:line="276"/>
              <w:ind w:left="-109"/>
              <w:jc w:val="both"/>
              <w:rPr>
                <w:bCs/>
                <w:color w:val="000000"/>
              </w:rPr>
            </w:pPr>
            <w:r>
              <w:t>Príloha č. 3</w:t>
            </w:r>
          </w:p>
        </w:tc>
        <w:tc>
          <w:tcPr>
            <w:tcW w:w="296" w:type="dxa"/>
            <w:tcBorders/>
          </w:tcPr>
          <w:p>
            <w:pPr>
              <w:pStyle w:val="style0"/>
              <w:autoSpaceDE w:val="false"/>
              <w:autoSpaceDN w:val="false"/>
              <w:adjustRightInd w:val="false"/>
              <w:spacing w:lineRule="auto" w:line="276"/>
              <w:ind w:left="-104" w:firstLine="104"/>
              <w:jc w:val="both"/>
              <w:rPr>
                <w:bCs/>
                <w:color w:val="000000"/>
              </w:rPr>
            </w:pPr>
            <w:r>
              <w:rPr>
                <w:bCs/>
                <w:color w:val="000000"/>
              </w:rPr>
              <w:t>-</w:t>
            </w:r>
          </w:p>
        </w:tc>
        <w:tc>
          <w:tcPr>
            <w:tcW w:w="7815" w:type="dxa"/>
            <w:tcBorders/>
          </w:tcPr>
          <w:p>
            <w:pPr>
              <w:pStyle w:val="style0"/>
              <w:autoSpaceDE w:val="false"/>
              <w:autoSpaceDN w:val="false"/>
              <w:adjustRightInd w:val="false"/>
              <w:spacing w:lineRule="auto" w:line="276"/>
              <w:jc w:val="both"/>
              <w:rPr>
                <w:bCs/>
                <w:color w:val="000000"/>
              </w:rPr>
            </w:pPr>
            <w:r>
              <w:rPr>
                <w:bCs/>
                <w:color w:val="000000"/>
              </w:rPr>
              <w:t>Informatívne súťažné podklady k výzve vyhlasovanej v rámci zriadeného DNS</w:t>
            </w:r>
          </w:p>
        </w:tc>
      </w:tr>
      <w:tr>
        <w:tblPrEx/>
        <w:trPr/>
        <w:tc>
          <w:tcPr>
            <w:tcW w:w="1276" w:type="dxa"/>
            <w:tcBorders/>
          </w:tcPr>
          <w:p>
            <w:pPr>
              <w:pStyle w:val="style0"/>
              <w:autoSpaceDE w:val="false"/>
              <w:autoSpaceDN w:val="false"/>
              <w:adjustRightInd w:val="false"/>
              <w:spacing w:lineRule="auto" w:line="276"/>
              <w:ind w:left="-109"/>
              <w:jc w:val="both"/>
              <w:rPr/>
            </w:pPr>
            <w:r>
              <w:t>Príloha č. 4</w:t>
            </w:r>
          </w:p>
        </w:tc>
        <w:tc>
          <w:tcPr>
            <w:tcW w:w="296" w:type="dxa"/>
            <w:tcBorders/>
          </w:tcPr>
          <w:p>
            <w:pPr>
              <w:pStyle w:val="style0"/>
              <w:autoSpaceDE w:val="false"/>
              <w:autoSpaceDN w:val="false"/>
              <w:adjustRightInd w:val="false"/>
              <w:spacing w:lineRule="auto" w:line="276"/>
              <w:ind w:left="-104" w:firstLine="104"/>
              <w:jc w:val="both"/>
              <w:rPr>
                <w:bCs/>
                <w:color w:val="000000"/>
              </w:rPr>
            </w:pPr>
            <w:r>
              <w:rPr>
                <w:bCs/>
                <w:color w:val="000000"/>
              </w:rPr>
              <w:t>-</w:t>
            </w:r>
          </w:p>
        </w:tc>
        <w:tc>
          <w:tcPr>
            <w:tcW w:w="7815" w:type="dxa"/>
            <w:tcBorders/>
          </w:tcPr>
          <w:p>
            <w:pPr>
              <w:pStyle w:val="style0"/>
              <w:autoSpaceDE w:val="false"/>
              <w:autoSpaceDN w:val="false"/>
              <w:adjustRightInd w:val="false"/>
              <w:spacing w:lineRule="auto" w:line="276"/>
              <w:jc w:val="both"/>
              <w:rPr/>
            </w:pPr>
            <w:r>
              <w:t>Informatívna zmluva k výzve vyhlasovanej v rámci zriadeného DNS</w:t>
            </w:r>
          </w:p>
        </w:tc>
      </w:tr>
      <w:tr>
        <w:tblPrEx/>
        <w:trPr/>
        <w:tc>
          <w:tcPr>
            <w:tcW w:w="1276" w:type="dxa"/>
            <w:tcBorders/>
          </w:tcPr>
          <w:p>
            <w:pPr>
              <w:pStyle w:val="style0"/>
              <w:autoSpaceDE w:val="false"/>
              <w:autoSpaceDN w:val="false"/>
              <w:adjustRightInd w:val="false"/>
              <w:spacing w:lineRule="auto" w:line="276"/>
              <w:ind w:left="-109"/>
              <w:jc w:val="both"/>
              <w:rPr/>
            </w:pPr>
            <w:r>
              <w:t>Príloha č. 5</w:t>
            </w:r>
          </w:p>
        </w:tc>
        <w:tc>
          <w:tcPr>
            <w:tcW w:w="296" w:type="dxa"/>
            <w:tcBorders/>
          </w:tcPr>
          <w:p>
            <w:pPr>
              <w:pStyle w:val="style0"/>
              <w:autoSpaceDE w:val="false"/>
              <w:autoSpaceDN w:val="false"/>
              <w:adjustRightInd w:val="false"/>
              <w:spacing w:lineRule="auto" w:line="276"/>
              <w:ind w:left="-104" w:firstLine="104"/>
              <w:jc w:val="both"/>
              <w:rPr>
                <w:bCs/>
                <w:color w:val="000000"/>
              </w:rPr>
            </w:pPr>
            <w:r>
              <w:rPr>
                <w:bCs/>
                <w:color w:val="000000"/>
              </w:rPr>
              <w:t>-</w:t>
            </w:r>
          </w:p>
        </w:tc>
        <w:tc>
          <w:tcPr>
            <w:tcW w:w="7815" w:type="dxa"/>
            <w:tcBorders/>
          </w:tcPr>
          <w:p>
            <w:pPr>
              <w:pStyle w:val="style0"/>
              <w:autoSpaceDE w:val="false"/>
              <w:autoSpaceDN w:val="false"/>
              <w:adjustRightInd w:val="false"/>
              <w:spacing w:lineRule="auto" w:line="276"/>
              <w:jc w:val="both"/>
              <w:rPr/>
            </w:pPr>
            <w:r>
              <w:t>Všeobecné obchodné podmienky</w:t>
            </w:r>
          </w:p>
        </w:tc>
      </w:tr>
    </w:tbl>
    <w:p>
      <w:pPr>
        <w:pStyle w:val="style2"/>
        <w:rPr/>
      </w:pPr>
      <w:r>
        <w:rPr>
          <w:lang w:eastAsia="cs-CZ"/>
        </w:rPr>
        <w:br w:type="page"/>
      </w:r>
      <w:bookmarkStart w:id="2" w:name="_Toc21598200"/>
      <w:bookmarkStart w:id="3" w:name="_Toc204781402"/>
      <w:r>
        <w:t>Identifikácia verejného obstarávateľa</w:t>
      </w:r>
      <w:bookmarkEnd w:id="2"/>
      <w:bookmarkEnd w:id="3"/>
      <w:r>
        <w:t xml:space="preserve"> </w:t>
      </w:r>
    </w:p>
    <w:p>
      <w:pPr>
        <w:pStyle w:val="style0"/>
        <w:tabs>
          <w:tab w:val="left" w:leader="none" w:pos="426"/>
        </w:tabs>
        <w:jc w:val="both"/>
        <w:rPr/>
      </w:pPr>
      <w:r>
        <w:t xml:space="preserve">1.1 </w:t>
      </w:r>
      <w:r>
        <w:tab/>
      </w:r>
      <w:r>
        <w:t xml:space="preserve">Názov organizácie: </w:t>
      </w:r>
      <w:r>
        <w:tab/>
      </w:r>
      <w:r>
        <w:t>Bratislavské centrum služieb</w:t>
      </w:r>
    </w:p>
    <w:p>
      <w:pPr>
        <w:pStyle w:val="style0"/>
        <w:tabs>
          <w:tab w:val="left" w:leader="none" w:pos="426"/>
        </w:tabs>
        <w:jc w:val="both"/>
        <w:rPr/>
      </w:pPr>
      <w:r>
        <w:tab/>
      </w:r>
      <w:r>
        <w:t>Sídlo:</w:t>
      </w:r>
      <w:r>
        <w:tab/>
      </w:r>
      <w:r>
        <w:tab/>
      </w:r>
      <w:r>
        <w:tab/>
      </w:r>
      <w:r>
        <w:t xml:space="preserve">Primaciálne námestie 1, 814 99 Bratislava - mestská časť Staré Mesto </w:t>
      </w:r>
    </w:p>
    <w:p>
      <w:pPr>
        <w:pStyle w:val="style0"/>
        <w:tabs>
          <w:tab w:val="left" w:leader="none" w:pos="426"/>
        </w:tabs>
        <w:jc w:val="both"/>
        <w:rPr/>
      </w:pPr>
      <w:r>
        <w:tab/>
      </w:r>
      <w:r>
        <w:tab/>
      </w:r>
      <w:r>
        <w:tab/>
      </w:r>
    </w:p>
    <w:p>
      <w:pPr>
        <w:pStyle w:val="style0"/>
        <w:tabs>
          <w:tab w:val="left" w:leader="none" w:pos="426"/>
        </w:tabs>
        <w:jc w:val="both"/>
        <w:rPr/>
      </w:pPr>
      <w:r>
        <w:tab/>
      </w:r>
      <w:r>
        <w:t xml:space="preserve">Kontaktná osoba: </w:t>
      </w:r>
      <w:r>
        <w:tab/>
      </w:r>
      <w:r>
        <w:rPr>
          <w:color w:val="000000"/>
          <w:szCs w:val="24"/>
        </w:rPr>
        <w:t>Martin Nociar</w:t>
      </w:r>
    </w:p>
    <w:p>
      <w:pPr>
        <w:pStyle w:val="style0"/>
        <w:tabs>
          <w:tab w:val="left" w:leader="none" w:pos="426"/>
        </w:tabs>
        <w:spacing w:after="160"/>
        <w:rPr>
          <w:rStyle w:val="style85"/>
        </w:rPr>
      </w:pPr>
      <w:r>
        <w:tab/>
      </w:r>
      <w:r>
        <w:t>Web zákazky:</w:t>
      </w:r>
      <w:r>
        <w:rPr>
          <w:rStyle w:val="style85"/>
          <w:u w:val="none"/>
        </w:rPr>
        <w:tab/>
      </w:r>
      <w:r>
        <w:rPr>
          <w:rStyle w:val="style85"/>
          <w:u w:val="none"/>
        </w:rPr>
        <w:tab/>
      </w:r>
      <w:r>
        <w:rPr>
          <w:rStyle w:val="style85"/>
        </w:rPr>
        <w:t>https://josephine.proebiz.com/sk/tender/70431/summary</w:t>
      </w:r>
    </w:p>
    <w:p>
      <w:pPr>
        <w:pStyle w:val="style0"/>
        <w:tabs>
          <w:tab w:val="left" w:leader="none" w:pos="426"/>
        </w:tabs>
        <w:spacing w:after="160"/>
        <w:ind w:left="426" w:hanging="426"/>
        <w:jc w:val="both"/>
        <w:rPr>
          <w:lang w:eastAsia="en-US"/>
        </w:rPr>
      </w:pPr>
      <w:r>
        <w:t xml:space="preserve">1.2 </w:t>
      </w:r>
      <w:r>
        <w:tab/>
      </w:r>
      <w:r>
        <w:t xml:space="preserve">Verejný obstarávateľ bol zriadený </w:t>
      </w:r>
      <w:r>
        <w:rPr>
          <w:b/>
          <w:bCs/>
        </w:rPr>
        <w:t>Hlavným mestom SR Bratislava</w:t>
      </w:r>
      <w:r>
        <w:t xml:space="preserve"> na účely realizácie služieb verejného obstarávania a v rámci</w:t>
      </w:r>
      <w:r>
        <w:rPr>
          <w:lang w:eastAsia="en-US"/>
        </w:rPr>
        <w:t xml:space="preserve"> tohto obstarávania vystupuje ako </w:t>
      </w:r>
      <w:r>
        <w:rPr>
          <w:b/>
          <w:bCs/>
          <w:lang w:eastAsia="en-US"/>
        </w:rPr>
        <w:t>centrálna obstarávacia organizácia</w:t>
      </w:r>
      <w:r>
        <w:rPr>
          <w:lang w:eastAsia="en-US"/>
        </w:rPr>
        <w:t xml:space="preserve"> v súlade s </w:t>
      </w:r>
      <w:r>
        <w:rPr/>
        <w:fldChar w:fldCharType="begin"/>
      </w:r>
      <w:r>
        <w:instrText xml:space="preserve"> HYPERLINK "https://www.slov-lex.sk/ezbierky/pravne-predpisy/SK/ZZ/2015/343/20250201.html" \l "paragraf-15" </w:instrText>
      </w:r>
      <w:r>
        <w:rPr/>
        <w:fldChar w:fldCharType="separate"/>
      </w:r>
      <w:r>
        <w:rPr>
          <w:rStyle w:val="style85"/>
          <w:lang w:eastAsia="en-US"/>
        </w:rPr>
        <w:t>§ 15</w:t>
      </w:r>
      <w:r>
        <w:rPr/>
        <w:fldChar w:fldCharType="end"/>
      </w:r>
      <w:r>
        <w:rPr>
          <w:lang w:eastAsia="en-US"/>
        </w:rPr>
        <w:t xml:space="preserve"> zákona o verejnom obstarávaní pre mesto a pre nasledujúce potencionálne pristupujúce subjekty: </w:t>
      </w:r>
    </w:p>
    <w:p>
      <w:pPr>
        <w:pStyle w:val="style179"/>
        <w:numPr>
          <w:ilvl w:val="0"/>
          <w:numId w:val="27"/>
        </w:numPr>
        <w:tabs>
          <w:tab w:val="left" w:leader="none" w:pos="426"/>
        </w:tabs>
        <w:spacing w:after="160"/>
        <w:jc w:val="both"/>
        <w:rPr>
          <w:lang w:eastAsia="en-US"/>
        </w:rPr>
      </w:pPr>
      <w:r>
        <w:rPr>
          <w:lang w:eastAsia="en-US"/>
        </w:rPr>
        <w:t xml:space="preserve">Všetky obchodné spoločnosti s majetkovou účasťou hlavného mesta SR Bratislava, </w:t>
      </w:r>
    </w:p>
    <w:p>
      <w:pPr>
        <w:pStyle w:val="style179"/>
        <w:numPr>
          <w:ilvl w:val="0"/>
          <w:numId w:val="27"/>
        </w:numPr>
        <w:tabs>
          <w:tab w:val="left" w:leader="none" w:pos="426"/>
        </w:tabs>
        <w:spacing w:after="160"/>
        <w:jc w:val="both"/>
        <w:rPr>
          <w:lang w:eastAsia="en-US"/>
        </w:rPr>
      </w:pPr>
      <w:r>
        <w:rPr>
          <w:lang w:eastAsia="en-US"/>
        </w:rPr>
        <w:t>Všetky rozpočtové organizácie a príspevkové organizácie, ktoré sú založené alebo zriadené verejným obstarávateľom na osobitný účel plnenia potrieb všeobecného záujmu a to v súlade so Štatútom hlavného mesta Slovenskej republiky Bratislavy, ktorý schválilo Mestské zastupiteľstvo hlavného mesta SR Bratislavy,</w:t>
      </w:r>
    </w:p>
    <w:p>
      <w:pPr>
        <w:pStyle w:val="style179"/>
        <w:numPr>
          <w:ilvl w:val="0"/>
          <w:numId w:val="27"/>
        </w:numPr>
        <w:tabs>
          <w:tab w:val="left" w:leader="none" w:pos="426"/>
        </w:tabs>
        <w:spacing w:after="160"/>
        <w:jc w:val="both"/>
        <w:rPr>
          <w:lang w:eastAsia="en-US"/>
        </w:rPr>
      </w:pPr>
      <w:r>
        <w:rPr>
          <w:lang w:eastAsia="en-US"/>
        </w:rPr>
        <w:t>Iné orgány územnej samosprávy vrátane ich obchodných spoločností, rozpočtových a príspevkových organizácií, ktorým Bratislavské centrum služieb na základe dohody poskytuje služby verejného obstarávania, ako napr. mestské časti mesta Bratislava.</w:t>
      </w:r>
    </w:p>
    <w:p>
      <w:pPr>
        <w:pStyle w:val="style0"/>
        <w:spacing w:after="160"/>
        <w:ind w:left="426" w:hanging="426"/>
        <w:jc w:val="both"/>
        <w:rPr>
          <w:lang w:eastAsia="en-US"/>
        </w:rPr>
      </w:pPr>
      <w:r>
        <w:rPr>
          <w:lang w:eastAsia="en-US"/>
        </w:rPr>
        <w:t xml:space="preserve">1.3 </w:t>
      </w:r>
      <w:r>
        <w:rPr>
          <w:lang w:eastAsia="en-US"/>
        </w:rPr>
        <w:tab/>
      </w:r>
      <w:r>
        <w:rPr>
          <w:lang w:eastAsia="en-US"/>
        </w:rPr>
        <w:t xml:space="preserve">Verejný obstarávateľ uvádza, že okruh vyššie uvedených subjektov môže byť počas trvania DNS doplnený o subjekty, ktoré patria do niektorej z vyššie uvedených skupín, pričom sú identifikované ako verejní obstarávatelia podľa </w:t>
      </w:r>
      <w:r>
        <w:rPr/>
        <w:fldChar w:fldCharType="begin"/>
      </w:r>
      <w:r>
        <w:instrText xml:space="preserve"> HYPERLINK "https://www.slov-lex.sk/ezbierky/pravne-predpisy/SK/ZZ/2015/343/20250201.html" \l "paragraf-7.odsek-1.pismeno-b" </w:instrText>
      </w:r>
      <w:r>
        <w:rPr/>
        <w:fldChar w:fldCharType="separate"/>
      </w:r>
      <w:r>
        <w:rPr>
          <w:rStyle w:val="style85"/>
          <w:lang w:eastAsia="en-US"/>
        </w:rPr>
        <w:t>§ 7 ods. 1 písm. b)</w:t>
      </w:r>
      <w:r>
        <w:rPr/>
        <w:fldChar w:fldCharType="end"/>
      </w:r>
      <w:r>
        <w:rPr>
          <w:lang w:eastAsia="en-US"/>
        </w:rPr>
        <w:t xml:space="preserve">, </w:t>
      </w:r>
      <w:r>
        <w:rPr/>
        <w:fldChar w:fldCharType="begin"/>
      </w:r>
      <w:r>
        <w:instrText xml:space="preserve"> HYPERLINK "https://www.slov-lex.sk/ezbierky/pravne-predpisy/SK/ZZ/2015/343/20250201.html" \l "paragraf-7.odsek-1.pismeno-c" </w:instrText>
      </w:r>
      <w:r>
        <w:rPr/>
        <w:fldChar w:fldCharType="separate"/>
      </w:r>
      <w:r>
        <w:rPr>
          <w:rStyle w:val="style85"/>
          <w:lang w:eastAsia="en-US"/>
        </w:rPr>
        <w:t>§ 7 ods. 1 písm. c)</w:t>
      </w:r>
      <w:r>
        <w:rPr/>
        <w:fldChar w:fldCharType="end"/>
      </w:r>
      <w:r>
        <w:rPr>
          <w:lang w:eastAsia="en-US"/>
        </w:rPr>
        <w:t xml:space="preserve"> a </w:t>
      </w:r>
      <w:r>
        <w:rPr/>
        <w:fldChar w:fldCharType="begin"/>
      </w:r>
      <w:r>
        <w:instrText xml:space="preserve"> HYPERLINK "https://www.slov-lex.sk/ezbierky/pravne-predpisy/SK/ZZ/2015/343/20250201.html" \l "paragraf-7.odsek-1.pismeno-d" </w:instrText>
      </w:r>
      <w:r>
        <w:rPr/>
        <w:fldChar w:fldCharType="separate"/>
      </w:r>
      <w:r>
        <w:rPr>
          <w:rStyle w:val="style85"/>
          <w:lang w:eastAsia="en-US"/>
        </w:rPr>
        <w:t>§ 7 ods. 1 písm. d)</w:t>
      </w:r>
      <w:r>
        <w:rPr/>
        <w:fldChar w:fldCharType="end"/>
      </w:r>
      <w:r>
        <w:rPr>
          <w:lang w:eastAsia="en-US"/>
        </w:rPr>
        <w:t xml:space="preserve"> zákona o verejnom obstarávaní. </w:t>
      </w:r>
    </w:p>
    <w:bookmarkStart w:id="4" w:name="_Toc204781403"/>
    <w:p>
      <w:pPr>
        <w:pStyle w:val="style2"/>
        <w:rPr/>
      </w:pPr>
      <w:r>
        <w:t>Úvodné informácie o DNS</w:t>
      </w:r>
      <w:bookmarkEnd w:id="4"/>
    </w:p>
    <w:p>
      <w:pPr>
        <w:pStyle w:val="style179"/>
        <w:widowControl w:val="false"/>
        <w:numPr>
          <w:ilvl w:val="1"/>
          <w:numId w:val="2"/>
        </w:numPr>
        <w:autoSpaceDE w:val="false"/>
        <w:autoSpaceDN w:val="false"/>
        <w:spacing w:before="160"/>
        <w:ind w:left="426" w:hanging="426"/>
        <w:jc w:val="both"/>
        <w:rPr/>
      </w:pPr>
      <w:r>
        <w:rPr>
          <w:b/>
          <w:bCs/>
          <w:szCs w:val="24"/>
        </w:rPr>
        <w:t>Dynamický nákupný systém</w:t>
      </w:r>
      <w:r>
        <w:rPr>
          <w:szCs w:val="24"/>
        </w:rPr>
        <w:t xml:space="preserve"> (ďalej aj ako „DNS“) je elektronický proces určený na obstarávanie tovaru, stavebných prác alebo služieb bežne dostupných na trhu. Ide o „kvalifikačný systém dodávateľov“, ktorí musia požiadať o zaradenie do systému, a ktorých bude následne verejný obstarávateľ vyzývať na predkladanie ponúk v čiastkových zákazkách. Systém je stále otvorený, a tak aj v priebehu jeho trvania sa vedia noví dodávatelia prihlásiť a zapojiť do súťaženia. Dodávatelia, ktorí nebudú zaradení/kvalifikovaní v tomto systéme, nebudú môcť predložiť ponuku</w:t>
      </w:r>
      <w:r>
        <w:t xml:space="preserve"> na zákazky vyhlásené</w:t>
      </w:r>
      <w:r>
        <w:rPr>
          <w:spacing w:val="-1"/>
        </w:rPr>
        <w:t xml:space="preserve"> </w:t>
      </w:r>
      <w:r>
        <w:t>v systéme.</w:t>
      </w:r>
    </w:p>
    <w:p>
      <w:pPr>
        <w:pStyle w:val="style179"/>
        <w:widowControl w:val="false"/>
        <w:numPr>
          <w:ilvl w:val="1"/>
          <w:numId w:val="2"/>
        </w:numPr>
        <w:autoSpaceDE w:val="false"/>
        <w:autoSpaceDN w:val="false"/>
        <w:spacing w:before="161"/>
        <w:ind w:left="426" w:hanging="426"/>
        <w:rPr/>
      </w:pPr>
      <w:r>
        <w:rPr>
          <w:b/>
          <w:bCs/>
        </w:rPr>
        <w:t>Predpokladaná</w:t>
      </w:r>
      <w:r>
        <w:rPr>
          <w:b/>
          <w:bCs/>
          <w:spacing w:val="-2"/>
        </w:rPr>
        <w:t xml:space="preserve"> </w:t>
      </w:r>
      <w:r>
        <w:rPr>
          <w:b/>
          <w:bCs/>
        </w:rPr>
        <w:t>hodnota DNS</w:t>
      </w:r>
      <w:r>
        <w:t>:</w:t>
      </w:r>
      <w:r>
        <w:rPr>
          <w:spacing w:val="1"/>
        </w:rPr>
        <w:t xml:space="preserve"> </w:t>
      </w:r>
      <w:r>
        <w:rPr>
          <w:b/>
          <w:bCs/>
        </w:rPr>
        <w:t>479 040,00.</w:t>
      </w:r>
    </w:p>
    <w:p>
      <w:pPr>
        <w:pStyle w:val="style179"/>
        <w:widowControl w:val="false"/>
        <w:numPr>
          <w:ilvl w:val="1"/>
          <w:numId w:val="2"/>
        </w:numPr>
        <w:autoSpaceDE w:val="false"/>
        <w:autoSpaceDN w:val="false"/>
        <w:spacing w:before="158"/>
        <w:ind w:left="426" w:hanging="426"/>
        <w:jc w:val="both"/>
        <w:rPr/>
      </w:pPr>
      <w:r>
        <w:rPr>
          <w:b/>
          <w:bCs/>
        </w:rPr>
        <w:t>Doba trvania DNS</w:t>
      </w:r>
      <w:r>
        <w:t xml:space="preserve"> je od jeho zriadenia do vyčerpania predpokladanej hodnoty alebo do</w:t>
      </w:r>
      <w:r>
        <w:rPr>
          <w:spacing w:val="1"/>
        </w:rPr>
        <w:t xml:space="preserve"> </w:t>
      </w:r>
      <w:r>
        <w:t>uplynutia</w:t>
      </w:r>
      <w:r>
        <w:rPr>
          <w:spacing w:val="-2"/>
        </w:rPr>
        <w:t xml:space="preserve"> </w:t>
      </w:r>
      <w:r>
        <w:t>štyroch rokov</w:t>
      </w:r>
      <w:r>
        <w:rPr>
          <w:spacing w:val="-2"/>
        </w:rPr>
        <w:t xml:space="preserve"> </w:t>
      </w:r>
      <w:r>
        <w:t>podľa</w:t>
      </w:r>
      <w:r>
        <w:rPr>
          <w:spacing w:val="-1"/>
        </w:rPr>
        <w:t xml:space="preserve"> </w:t>
      </w:r>
      <w:r>
        <w:t>toho,</w:t>
      </w:r>
      <w:r>
        <w:rPr>
          <w:spacing w:val="-1"/>
        </w:rPr>
        <w:t xml:space="preserve"> </w:t>
      </w:r>
      <w:r>
        <w:t>ktorá</w:t>
      </w:r>
      <w:r>
        <w:rPr>
          <w:spacing w:val="-2"/>
        </w:rPr>
        <w:t xml:space="preserve"> </w:t>
      </w:r>
      <w:r>
        <w:t>skutočnosť</w:t>
      </w:r>
      <w:r>
        <w:rPr>
          <w:spacing w:val="-1"/>
        </w:rPr>
        <w:t xml:space="preserve"> </w:t>
      </w:r>
      <w:r>
        <w:t>nastane</w:t>
      </w:r>
      <w:r>
        <w:rPr>
          <w:spacing w:val="-2"/>
        </w:rPr>
        <w:t xml:space="preserve"> </w:t>
      </w:r>
      <w:r>
        <w:t>skôr. O prípadnom navýšení predpokladanej hodnoty alebo predĺžení doby trvania budú všetky hospodárske subjekty riadne informované.</w:t>
      </w:r>
    </w:p>
    <w:p>
      <w:pPr>
        <w:pStyle w:val="style179"/>
        <w:widowControl w:val="false"/>
        <w:numPr>
          <w:ilvl w:val="1"/>
          <w:numId w:val="2"/>
        </w:numPr>
        <w:autoSpaceDE w:val="false"/>
        <w:autoSpaceDN w:val="false"/>
        <w:spacing w:before="159"/>
        <w:ind w:left="426" w:hanging="426"/>
        <w:rPr/>
      </w:pPr>
      <w:r>
        <w:rPr>
          <w:b/>
          <w:bCs/>
        </w:rPr>
        <w:t>Základné</w:t>
      </w:r>
      <w:r>
        <w:rPr>
          <w:b/>
          <w:bCs/>
          <w:spacing w:val="-4"/>
        </w:rPr>
        <w:t xml:space="preserve"> </w:t>
      </w:r>
      <w:r>
        <w:rPr>
          <w:b/>
          <w:bCs/>
        </w:rPr>
        <w:t>pojmy</w:t>
      </w:r>
      <w:r>
        <w:t>:</w:t>
      </w:r>
    </w:p>
    <w:p>
      <w:pPr>
        <w:pStyle w:val="style66"/>
        <w:numPr>
          <w:ilvl w:val="0"/>
          <w:numId w:val="25"/>
        </w:numPr>
        <w:spacing w:before="160"/>
        <w:ind w:left="709" w:hanging="283"/>
        <w:rPr>
          <w:b w:val="false"/>
          <w:bCs w:val="false"/>
        </w:rPr>
      </w:pPr>
      <w:r>
        <w:rPr>
          <w:b w:val="false"/>
          <w:bCs w:val="false"/>
        </w:rPr>
        <w:t>Záujemcom</w:t>
      </w:r>
      <w:r>
        <w:rPr>
          <w:b w:val="false"/>
          <w:bCs w:val="false"/>
          <w:spacing w:val="-4"/>
        </w:rPr>
        <w:t xml:space="preserve"> </w:t>
      </w:r>
      <w:r>
        <w:rPr>
          <w:b w:val="false"/>
          <w:bCs w:val="false"/>
        </w:rPr>
        <w:t>sa</w:t>
      </w:r>
      <w:r>
        <w:rPr>
          <w:b w:val="false"/>
          <w:bCs w:val="false"/>
          <w:spacing w:val="-7"/>
        </w:rPr>
        <w:t xml:space="preserve"> </w:t>
      </w:r>
      <w:r>
        <w:rPr>
          <w:b w:val="false"/>
          <w:bCs w:val="false"/>
        </w:rPr>
        <w:t>pre</w:t>
      </w:r>
      <w:r>
        <w:rPr>
          <w:b w:val="false"/>
          <w:bCs w:val="false"/>
          <w:spacing w:val="-8"/>
        </w:rPr>
        <w:t xml:space="preserve"> </w:t>
      </w:r>
      <w:r>
        <w:rPr>
          <w:b w:val="false"/>
          <w:bCs w:val="false"/>
        </w:rPr>
        <w:t>účely</w:t>
      </w:r>
      <w:r>
        <w:rPr>
          <w:b w:val="false"/>
          <w:bCs w:val="false"/>
          <w:spacing w:val="-4"/>
        </w:rPr>
        <w:t xml:space="preserve"> </w:t>
      </w:r>
      <w:r>
        <w:rPr>
          <w:b w:val="false"/>
          <w:bCs w:val="false"/>
        </w:rPr>
        <w:t>tohto</w:t>
      </w:r>
      <w:r>
        <w:rPr>
          <w:b w:val="false"/>
          <w:bCs w:val="false"/>
          <w:spacing w:val="-6"/>
        </w:rPr>
        <w:t xml:space="preserve"> </w:t>
      </w:r>
      <w:r>
        <w:rPr>
          <w:b w:val="false"/>
          <w:bCs w:val="false"/>
        </w:rPr>
        <w:t>DNS</w:t>
      </w:r>
      <w:r>
        <w:rPr>
          <w:b w:val="false"/>
          <w:bCs w:val="false"/>
          <w:spacing w:val="-6"/>
        </w:rPr>
        <w:t xml:space="preserve"> </w:t>
      </w:r>
      <w:r>
        <w:rPr>
          <w:b w:val="false"/>
          <w:bCs w:val="false"/>
        </w:rPr>
        <w:t>rozumie</w:t>
      </w:r>
      <w:r>
        <w:rPr>
          <w:b w:val="false"/>
          <w:bCs w:val="false"/>
          <w:spacing w:val="-7"/>
        </w:rPr>
        <w:t xml:space="preserve"> </w:t>
      </w:r>
      <w:r>
        <w:rPr>
          <w:b w:val="false"/>
          <w:bCs w:val="false"/>
        </w:rPr>
        <w:t>hospodársky</w:t>
      </w:r>
      <w:r>
        <w:rPr>
          <w:b w:val="false"/>
          <w:bCs w:val="false"/>
          <w:spacing w:val="-7"/>
        </w:rPr>
        <w:t xml:space="preserve"> </w:t>
      </w:r>
      <w:r>
        <w:rPr>
          <w:b w:val="false"/>
          <w:bCs w:val="false"/>
        </w:rPr>
        <w:t>subjekt,</w:t>
      </w:r>
      <w:r>
        <w:rPr>
          <w:b w:val="false"/>
          <w:bCs w:val="false"/>
          <w:spacing w:val="-6"/>
        </w:rPr>
        <w:t xml:space="preserve"> </w:t>
      </w:r>
      <w:r>
        <w:rPr>
          <w:b w:val="false"/>
          <w:bCs w:val="false"/>
        </w:rPr>
        <w:t>ktorý</w:t>
      </w:r>
      <w:r>
        <w:rPr>
          <w:b w:val="false"/>
          <w:bCs w:val="false"/>
          <w:spacing w:val="-7"/>
        </w:rPr>
        <w:t xml:space="preserve"> </w:t>
      </w:r>
      <w:r>
        <w:rPr>
          <w:b w:val="false"/>
          <w:bCs w:val="false"/>
        </w:rPr>
        <w:t>podal</w:t>
      </w:r>
      <w:r>
        <w:rPr>
          <w:b w:val="false"/>
          <w:bCs w:val="false"/>
          <w:spacing w:val="-6"/>
        </w:rPr>
        <w:t xml:space="preserve"> </w:t>
      </w:r>
      <w:r>
        <w:rPr>
          <w:b w:val="false"/>
          <w:bCs w:val="false"/>
        </w:rPr>
        <w:t>žiadosť</w:t>
      </w:r>
      <w:r>
        <w:rPr>
          <w:b w:val="false"/>
          <w:bCs w:val="false"/>
          <w:spacing w:val="-6"/>
        </w:rPr>
        <w:t xml:space="preserve"> </w:t>
      </w:r>
      <w:r>
        <w:rPr>
          <w:b w:val="false"/>
          <w:bCs w:val="false"/>
        </w:rPr>
        <w:t>o</w:t>
      </w:r>
      <w:r>
        <w:rPr>
          <w:b w:val="false"/>
          <w:bCs w:val="false"/>
          <w:spacing w:val="-58"/>
        </w:rPr>
        <w:t xml:space="preserve"> </w:t>
      </w:r>
      <w:r>
        <w:rPr>
          <w:b w:val="false"/>
          <w:bCs w:val="false"/>
        </w:rPr>
        <w:t>zaradenie</w:t>
      </w:r>
      <w:r>
        <w:rPr>
          <w:b w:val="false"/>
          <w:bCs w:val="false"/>
          <w:spacing w:val="-1"/>
        </w:rPr>
        <w:t xml:space="preserve"> </w:t>
      </w:r>
      <w:r>
        <w:rPr>
          <w:b w:val="false"/>
          <w:bCs w:val="false"/>
        </w:rPr>
        <w:t>do</w:t>
      </w:r>
      <w:r>
        <w:rPr>
          <w:b w:val="false"/>
          <w:bCs w:val="false"/>
          <w:spacing w:val="-1"/>
        </w:rPr>
        <w:t xml:space="preserve"> </w:t>
      </w:r>
      <w:r>
        <w:rPr>
          <w:b w:val="false"/>
          <w:bCs w:val="false"/>
        </w:rPr>
        <w:t>DNS.</w:t>
      </w:r>
    </w:p>
    <w:p>
      <w:pPr>
        <w:pStyle w:val="style66"/>
        <w:numPr>
          <w:ilvl w:val="0"/>
          <w:numId w:val="25"/>
        </w:numPr>
        <w:spacing w:before="160"/>
        <w:ind w:left="709" w:hanging="283"/>
        <w:rPr>
          <w:b w:val="false"/>
          <w:bCs w:val="false"/>
        </w:rPr>
      </w:pPr>
      <w:r>
        <w:rPr>
          <w:b w:val="false"/>
          <w:bCs w:val="false"/>
        </w:rPr>
        <w:t>Žiadosťou</w:t>
      </w:r>
      <w:r>
        <w:rPr>
          <w:b w:val="false"/>
          <w:bCs w:val="false"/>
          <w:spacing w:val="1"/>
        </w:rPr>
        <w:t xml:space="preserve"> </w:t>
      </w:r>
      <w:r>
        <w:rPr>
          <w:b w:val="false"/>
          <w:bCs w:val="false"/>
        </w:rPr>
        <w:t>o</w:t>
      </w:r>
      <w:r>
        <w:rPr>
          <w:b w:val="false"/>
          <w:bCs w:val="false"/>
          <w:spacing w:val="1"/>
        </w:rPr>
        <w:t xml:space="preserve"> </w:t>
      </w:r>
      <w:r>
        <w:rPr>
          <w:b w:val="false"/>
          <w:bCs w:val="false"/>
        </w:rPr>
        <w:t>zaradenie</w:t>
      </w:r>
      <w:r>
        <w:rPr>
          <w:b w:val="false"/>
          <w:bCs w:val="false"/>
          <w:spacing w:val="1"/>
        </w:rPr>
        <w:t xml:space="preserve"> </w:t>
      </w:r>
      <w:r>
        <w:rPr>
          <w:b w:val="false"/>
          <w:bCs w:val="false"/>
        </w:rPr>
        <w:t>do</w:t>
      </w:r>
      <w:r>
        <w:rPr>
          <w:b w:val="false"/>
          <w:bCs w:val="false"/>
          <w:spacing w:val="1"/>
        </w:rPr>
        <w:t xml:space="preserve"> </w:t>
      </w:r>
      <w:r>
        <w:rPr>
          <w:b w:val="false"/>
          <w:bCs w:val="false"/>
        </w:rPr>
        <w:t>DNS</w:t>
      </w:r>
      <w:r>
        <w:rPr>
          <w:b w:val="false"/>
          <w:bCs w:val="false"/>
          <w:spacing w:val="1"/>
        </w:rPr>
        <w:t xml:space="preserve"> </w:t>
      </w:r>
      <w:r>
        <w:rPr>
          <w:b w:val="false"/>
          <w:bCs w:val="false"/>
        </w:rPr>
        <w:t>(ďalej</w:t>
      </w:r>
      <w:r>
        <w:rPr>
          <w:b w:val="false"/>
          <w:bCs w:val="false"/>
          <w:spacing w:val="1"/>
        </w:rPr>
        <w:t xml:space="preserve"> </w:t>
      </w:r>
      <w:r>
        <w:rPr>
          <w:b w:val="false"/>
          <w:bCs w:val="false"/>
        </w:rPr>
        <w:t>aj</w:t>
      </w:r>
      <w:r>
        <w:rPr>
          <w:b w:val="false"/>
          <w:bCs w:val="false"/>
          <w:spacing w:val="1"/>
        </w:rPr>
        <w:t xml:space="preserve"> </w:t>
      </w:r>
      <w:r>
        <w:rPr>
          <w:b w:val="false"/>
          <w:bCs w:val="false"/>
        </w:rPr>
        <w:t>„žiadosť</w:t>
      </w:r>
      <w:r>
        <w:rPr>
          <w:b w:val="false"/>
          <w:bCs w:val="false"/>
          <w:spacing w:val="1"/>
        </w:rPr>
        <w:t xml:space="preserve"> </w:t>
      </w:r>
      <w:r>
        <w:rPr>
          <w:b w:val="false"/>
          <w:bCs w:val="false"/>
        </w:rPr>
        <w:t>o</w:t>
      </w:r>
      <w:r>
        <w:rPr>
          <w:b w:val="false"/>
          <w:bCs w:val="false"/>
          <w:spacing w:val="1"/>
        </w:rPr>
        <w:t xml:space="preserve"> </w:t>
      </w:r>
      <w:r>
        <w:rPr>
          <w:b w:val="false"/>
          <w:bCs w:val="false"/>
        </w:rPr>
        <w:t>účasť“)</w:t>
      </w:r>
      <w:r>
        <w:rPr>
          <w:b w:val="false"/>
          <w:bCs w:val="false"/>
          <w:spacing w:val="1"/>
        </w:rPr>
        <w:t xml:space="preserve"> vyjadruje </w:t>
      </w:r>
      <w:r>
        <w:rPr>
          <w:b w:val="false"/>
          <w:bCs w:val="false"/>
        </w:rPr>
        <w:t>hospodársky subjekt záujem byť vyzývaný na predloženie ponuky do čiastkových zákaziek vyhlásených</w:t>
      </w:r>
      <w:r>
        <w:rPr>
          <w:b w:val="false"/>
          <w:bCs w:val="false"/>
          <w:spacing w:val="1"/>
        </w:rPr>
        <w:t xml:space="preserve"> </w:t>
      </w:r>
      <w:r>
        <w:rPr>
          <w:b w:val="false"/>
          <w:bCs w:val="false"/>
        </w:rPr>
        <w:t xml:space="preserve">v DNS </w:t>
      </w:r>
      <w:r>
        <w:rPr>
          <w:b w:val="false"/>
          <w:bCs w:val="false"/>
        </w:rPr>
        <w:t>a v prípade záujmu aj predložiť ponuku. Žiadosť o zaradenie do DNS je</w:t>
      </w:r>
      <w:r>
        <w:rPr>
          <w:b w:val="false"/>
          <w:bCs w:val="false"/>
          <w:spacing w:val="1"/>
        </w:rPr>
        <w:t xml:space="preserve"> </w:t>
      </w:r>
      <w:r>
        <w:rPr>
          <w:b w:val="false"/>
          <w:bCs w:val="false"/>
        </w:rPr>
        <w:t>možné</w:t>
      </w:r>
      <w:r>
        <w:rPr>
          <w:b w:val="false"/>
          <w:bCs w:val="false"/>
          <w:spacing w:val="-3"/>
        </w:rPr>
        <w:t xml:space="preserve"> </w:t>
      </w:r>
      <w:r>
        <w:rPr>
          <w:b w:val="false"/>
          <w:bCs w:val="false"/>
        </w:rPr>
        <w:t>predkladať</w:t>
      </w:r>
      <w:r>
        <w:rPr>
          <w:b w:val="false"/>
          <w:bCs w:val="false"/>
          <w:spacing w:val="-1"/>
        </w:rPr>
        <w:t xml:space="preserve"> </w:t>
      </w:r>
      <w:r>
        <w:rPr>
          <w:b w:val="false"/>
          <w:bCs w:val="false"/>
        </w:rPr>
        <w:t>počas</w:t>
      </w:r>
      <w:r>
        <w:rPr>
          <w:b w:val="false"/>
          <w:bCs w:val="false"/>
          <w:spacing w:val="2"/>
        </w:rPr>
        <w:t xml:space="preserve"> </w:t>
      </w:r>
      <w:r>
        <w:rPr>
          <w:b w:val="false"/>
          <w:bCs w:val="false"/>
        </w:rPr>
        <w:t>celej doby trvania</w:t>
      </w:r>
      <w:r>
        <w:rPr>
          <w:b w:val="false"/>
          <w:bCs w:val="false"/>
          <w:spacing w:val="1"/>
        </w:rPr>
        <w:t xml:space="preserve"> </w:t>
      </w:r>
      <w:r>
        <w:rPr>
          <w:b w:val="false"/>
          <w:bCs w:val="false"/>
        </w:rPr>
        <w:t>DNS.</w:t>
      </w:r>
    </w:p>
    <w:p>
      <w:pPr>
        <w:pStyle w:val="style66"/>
        <w:numPr>
          <w:ilvl w:val="0"/>
          <w:numId w:val="25"/>
        </w:numPr>
        <w:spacing w:before="160"/>
        <w:ind w:left="709" w:hanging="283"/>
        <w:rPr>
          <w:b w:val="false"/>
          <w:bCs w:val="false"/>
        </w:rPr>
      </w:pPr>
      <w:r>
        <w:rPr>
          <w:b w:val="false"/>
          <w:bCs w:val="false"/>
        </w:rPr>
        <w:t>DNS</w:t>
      </w:r>
      <w:r>
        <w:rPr>
          <w:b w:val="false"/>
          <w:bCs w:val="false"/>
          <w:spacing w:val="-7"/>
        </w:rPr>
        <w:t xml:space="preserve"> </w:t>
      </w:r>
      <w:r>
        <w:rPr>
          <w:b w:val="false"/>
          <w:bCs w:val="false"/>
        </w:rPr>
        <w:t>sa</w:t>
      </w:r>
      <w:r>
        <w:rPr>
          <w:b w:val="false"/>
          <w:bCs w:val="false"/>
          <w:spacing w:val="-6"/>
        </w:rPr>
        <w:t xml:space="preserve"> </w:t>
      </w:r>
      <w:r>
        <w:rPr>
          <w:b w:val="false"/>
          <w:bCs w:val="false"/>
        </w:rPr>
        <w:t>považuje</w:t>
      </w:r>
      <w:r>
        <w:rPr>
          <w:b w:val="false"/>
          <w:bCs w:val="false"/>
          <w:spacing w:val="-8"/>
        </w:rPr>
        <w:t xml:space="preserve"> </w:t>
      </w:r>
      <w:r>
        <w:rPr>
          <w:b w:val="false"/>
          <w:bCs w:val="false"/>
        </w:rPr>
        <w:t>za</w:t>
      </w:r>
      <w:r>
        <w:rPr>
          <w:b w:val="false"/>
          <w:bCs w:val="false"/>
          <w:spacing w:val="-6"/>
        </w:rPr>
        <w:t xml:space="preserve"> </w:t>
      </w:r>
      <w:r>
        <w:rPr>
          <w:b w:val="false"/>
          <w:bCs w:val="false"/>
        </w:rPr>
        <w:t>zriadený</w:t>
      </w:r>
      <w:r>
        <w:rPr>
          <w:b w:val="false"/>
          <w:bCs w:val="false"/>
          <w:spacing w:val="-5"/>
        </w:rPr>
        <w:t xml:space="preserve"> </w:t>
      </w:r>
      <w:r>
        <w:rPr>
          <w:b w:val="false"/>
          <w:bCs w:val="false"/>
        </w:rPr>
        <w:t>v</w:t>
      </w:r>
      <w:r>
        <w:rPr>
          <w:b w:val="false"/>
          <w:bCs w:val="false"/>
          <w:spacing w:val="-6"/>
        </w:rPr>
        <w:t xml:space="preserve"> </w:t>
      </w:r>
      <w:r>
        <w:rPr>
          <w:b w:val="false"/>
          <w:bCs w:val="false"/>
        </w:rPr>
        <w:t>okamihu,</w:t>
      </w:r>
      <w:r>
        <w:rPr>
          <w:b w:val="false"/>
          <w:bCs w:val="false"/>
          <w:spacing w:val="-6"/>
        </w:rPr>
        <w:t xml:space="preserve"> </w:t>
      </w:r>
      <w:r>
        <w:rPr>
          <w:b w:val="false"/>
          <w:bCs w:val="false"/>
        </w:rPr>
        <w:t>keď</w:t>
      </w:r>
      <w:r>
        <w:rPr>
          <w:b w:val="false"/>
          <w:bCs w:val="false"/>
          <w:spacing w:val="-6"/>
        </w:rPr>
        <w:t xml:space="preserve"> </w:t>
      </w:r>
      <w:r>
        <w:rPr>
          <w:b w:val="false"/>
          <w:bCs w:val="false"/>
        </w:rPr>
        <w:t>verejný</w:t>
      </w:r>
      <w:r>
        <w:rPr>
          <w:b w:val="false"/>
          <w:bCs w:val="false"/>
          <w:spacing w:val="-7"/>
        </w:rPr>
        <w:t xml:space="preserve"> </w:t>
      </w:r>
      <w:r>
        <w:rPr>
          <w:b w:val="false"/>
          <w:bCs w:val="false"/>
        </w:rPr>
        <w:t>obstarávateľ</w:t>
      </w:r>
      <w:r>
        <w:rPr>
          <w:b w:val="false"/>
          <w:bCs w:val="false"/>
          <w:spacing w:val="-6"/>
        </w:rPr>
        <w:t xml:space="preserve"> </w:t>
      </w:r>
      <w:r>
        <w:rPr>
          <w:b w:val="false"/>
          <w:bCs w:val="false"/>
        </w:rPr>
        <w:t>oznámi</w:t>
      </w:r>
      <w:r>
        <w:rPr>
          <w:b w:val="false"/>
          <w:bCs w:val="false"/>
          <w:spacing w:val="-6"/>
        </w:rPr>
        <w:t xml:space="preserve"> </w:t>
      </w:r>
      <w:r>
        <w:rPr>
          <w:b w:val="false"/>
          <w:bCs w:val="false"/>
        </w:rPr>
        <w:t>záujemcom,</w:t>
      </w:r>
      <w:r>
        <w:rPr>
          <w:b w:val="false"/>
          <w:bCs w:val="false"/>
          <w:spacing w:val="-58"/>
        </w:rPr>
        <w:t xml:space="preserve"> </w:t>
      </w:r>
      <w:r>
        <w:rPr>
          <w:b w:val="false"/>
          <w:bCs w:val="false"/>
        </w:rPr>
        <w:t>ktorí</w:t>
      </w:r>
      <w:r>
        <w:rPr>
          <w:b w:val="false"/>
          <w:bCs w:val="false"/>
          <w:spacing w:val="59"/>
        </w:rPr>
        <w:t xml:space="preserve"> </w:t>
      </w:r>
      <w:r>
        <w:rPr>
          <w:b w:val="false"/>
          <w:bCs w:val="false"/>
        </w:rPr>
        <w:t>doručili</w:t>
      </w:r>
      <w:r>
        <w:rPr>
          <w:b w:val="false"/>
          <w:bCs w:val="false"/>
          <w:spacing w:val="59"/>
        </w:rPr>
        <w:t xml:space="preserve"> </w:t>
      </w:r>
      <w:r>
        <w:rPr>
          <w:b w:val="false"/>
          <w:bCs w:val="false"/>
        </w:rPr>
        <w:t>žiadosť</w:t>
      </w:r>
      <w:r>
        <w:rPr>
          <w:b w:val="false"/>
          <w:bCs w:val="false"/>
          <w:spacing w:val="59"/>
        </w:rPr>
        <w:t xml:space="preserve"> </w:t>
      </w:r>
      <w:r>
        <w:rPr>
          <w:b w:val="false"/>
          <w:bCs w:val="false"/>
        </w:rPr>
        <w:t>o</w:t>
      </w:r>
      <w:r>
        <w:rPr>
          <w:b w:val="false"/>
          <w:bCs w:val="false"/>
          <w:spacing w:val="56"/>
        </w:rPr>
        <w:t xml:space="preserve"> </w:t>
      </w:r>
      <w:r>
        <w:rPr>
          <w:b w:val="false"/>
          <w:bCs w:val="false"/>
        </w:rPr>
        <w:t>účať</w:t>
      </w:r>
      <w:r>
        <w:rPr>
          <w:b w:val="false"/>
          <w:bCs w:val="false"/>
          <w:spacing w:val="59"/>
        </w:rPr>
        <w:t xml:space="preserve"> </w:t>
      </w:r>
      <w:r>
        <w:rPr>
          <w:b w:val="false"/>
          <w:bCs w:val="false"/>
        </w:rPr>
        <w:t>v</w:t>
      </w:r>
      <w:r>
        <w:rPr>
          <w:b w:val="false"/>
          <w:bCs w:val="false"/>
          <w:spacing w:val="58"/>
        </w:rPr>
        <w:t xml:space="preserve"> </w:t>
      </w:r>
      <w:r>
        <w:rPr>
          <w:b w:val="false"/>
          <w:bCs w:val="false"/>
        </w:rPr>
        <w:t>základnej</w:t>
      </w:r>
      <w:r>
        <w:rPr>
          <w:b w:val="false"/>
          <w:bCs w:val="false"/>
          <w:spacing w:val="59"/>
        </w:rPr>
        <w:t xml:space="preserve"> </w:t>
      </w:r>
      <w:r>
        <w:rPr>
          <w:b w:val="false"/>
          <w:bCs w:val="false"/>
        </w:rPr>
        <w:t>lehote</w:t>
      </w:r>
      <w:r>
        <w:rPr>
          <w:b w:val="false"/>
          <w:bCs w:val="false"/>
          <w:spacing w:val="57"/>
        </w:rPr>
        <w:t xml:space="preserve"> </w:t>
      </w:r>
      <w:r>
        <w:rPr>
          <w:b w:val="false"/>
          <w:bCs w:val="false"/>
        </w:rPr>
        <w:t>na</w:t>
      </w:r>
      <w:r>
        <w:rPr>
          <w:b w:val="false"/>
          <w:bCs w:val="false"/>
          <w:spacing w:val="58"/>
        </w:rPr>
        <w:t xml:space="preserve"> </w:t>
      </w:r>
      <w:r>
        <w:rPr>
          <w:b w:val="false"/>
          <w:bCs w:val="false"/>
        </w:rPr>
        <w:t>podanie</w:t>
      </w:r>
      <w:r>
        <w:rPr>
          <w:b w:val="false"/>
          <w:bCs w:val="false"/>
          <w:spacing w:val="58"/>
        </w:rPr>
        <w:t xml:space="preserve"> </w:t>
      </w:r>
      <w:r>
        <w:rPr>
          <w:b w:val="false"/>
          <w:bCs w:val="false"/>
        </w:rPr>
        <w:t>žiadosti, informáciu</w:t>
      </w:r>
      <w:r>
        <w:rPr>
          <w:b w:val="false"/>
          <w:bCs w:val="false"/>
          <w:spacing w:val="-1"/>
        </w:rPr>
        <w:t xml:space="preserve"> </w:t>
      </w:r>
      <w:r>
        <w:rPr>
          <w:b w:val="false"/>
          <w:bCs w:val="false"/>
        </w:rPr>
        <w:t>o vyhodnotení ich žiadostí podľa</w:t>
      </w:r>
      <w:r>
        <w:rPr>
          <w:b w:val="false"/>
          <w:bCs w:val="false"/>
          <w:spacing w:val="-1"/>
        </w:rPr>
        <w:t xml:space="preserve"> </w:t>
      </w:r>
      <w:r>
        <w:rPr/>
        <w:fldChar w:fldCharType="begin"/>
      </w:r>
      <w:r>
        <w:instrText xml:space="preserve"> HYPERLINK "https://www.slov-lex.sk/pravne-predpisy/SK/ZZ/2015/343/20240331" \l ":~:text=dynamick%C3%A9ho%20n%C3%A1kupn%C3%A9ho%20syst%C3%A9mu.-,(8),%C5%BEiados%C5%A5%20o%20%C3%BA%C4%8Das%C5%A5%20a%20lehotu%2C%20v%20ktorej%20m%C3%B4%C5%BEe%20by%C5%A5%20doru%C4%8Den%C3%A1%20n%C3%A1mietka.,-(9)" </w:instrText>
      </w:r>
      <w:r>
        <w:rPr/>
        <w:fldChar w:fldCharType="separate"/>
      </w:r>
      <w:r>
        <w:rPr>
          <w:rStyle w:val="style85"/>
          <w:b w:val="false"/>
          <w:bCs w:val="false"/>
        </w:rPr>
        <w:t>§ 60 ods. 8 ZVO</w:t>
      </w:r>
      <w:r>
        <w:rPr/>
        <w:fldChar w:fldCharType="end"/>
      </w:r>
      <w:r>
        <w:rPr>
          <w:b w:val="false"/>
          <w:bCs w:val="false"/>
        </w:rPr>
        <w:t>.</w:t>
      </w:r>
    </w:p>
    <w:p>
      <w:pPr>
        <w:pStyle w:val="style66"/>
        <w:numPr>
          <w:ilvl w:val="0"/>
          <w:numId w:val="25"/>
        </w:numPr>
        <w:spacing w:before="160"/>
        <w:ind w:left="709" w:hanging="283"/>
        <w:rPr>
          <w:b w:val="false"/>
          <w:bCs w:val="false"/>
        </w:rPr>
      </w:pPr>
      <w:r>
        <w:rPr>
          <w:b w:val="false"/>
          <w:bCs w:val="false"/>
        </w:rPr>
        <w:t>Základnou lehotou na podávanie žiadostí o zaradenie sa rozumie lehota, ktorá</w:t>
      </w:r>
      <w:r>
        <w:t xml:space="preserve"> je</w:t>
      </w:r>
      <w:r>
        <w:rPr>
          <w:spacing w:val="1"/>
        </w:rPr>
        <w:t xml:space="preserve"> </w:t>
      </w:r>
      <w:r>
        <w:t>uvedená</w:t>
      </w:r>
      <w:r>
        <w:rPr>
          <w:spacing w:val="-2"/>
        </w:rPr>
        <w:t xml:space="preserve"> </w:t>
      </w:r>
      <w:r>
        <w:t>v oznámení o vyhlásení verejného</w:t>
      </w:r>
      <w:r>
        <w:rPr>
          <w:spacing w:val="1"/>
        </w:rPr>
        <w:t xml:space="preserve"> </w:t>
      </w:r>
      <w:r>
        <w:t>obstarávania.</w:t>
      </w:r>
    </w:p>
    <w:bookmarkStart w:id="5" w:name="_Toc204781404"/>
    <w:p>
      <w:pPr>
        <w:pStyle w:val="style2"/>
        <w:rPr/>
      </w:pPr>
      <w:r>
        <w:t>Opis predmetu zákazky</w:t>
      </w:r>
      <w:bookmarkEnd w:id="5"/>
    </w:p>
    <w:p>
      <w:pPr>
        <w:pStyle w:val="style179"/>
        <w:numPr>
          <w:ilvl w:val="1"/>
          <w:numId w:val="4"/>
        </w:numPr>
        <w:spacing w:after="160"/>
        <w:ind w:left="426" w:hanging="426"/>
        <w:jc w:val="both"/>
        <w:rPr>
          <w:lang w:eastAsia="en-US"/>
        </w:rPr>
      </w:pPr>
      <w:r>
        <w:rPr>
          <w:lang w:eastAsia="en-US"/>
        </w:rPr>
        <w:t>DNS bude slúžiť na zadávanie zákaziek, ktorých predmetom bude zabezpečenie dodávok centrálneho nákupu hygienických potrieb pre potreby hlavného mesta Slovenskej republiky Bratislavy, a ďalšie subjekty.</w:t>
      </w:r>
    </w:p>
    <w:p>
      <w:pPr>
        <w:pStyle w:val="style179"/>
        <w:numPr>
          <w:ilvl w:val="1"/>
          <w:numId w:val="4"/>
        </w:numPr>
        <w:spacing w:after="160"/>
        <w:ind w:left="426" w:hanging="426"/>
        <w:jc w:val="both"/>
        <w:rPr>
          <w:rFonts w:eastAsia="Calibri"/>
        </w:rPr>
      </w:pPr>
      <w:r>
        <w:rPr>
          <w:rFonts w:eastAsia="Calibri"/>
          <w:lang w:eastAsia="en-US"/>
        </w:rPr>
        <w:t>DNS bude slúžiť na flexibilný nákup širokého sortimentu hygienických produktov, ako sú najmä papierové hygienické výrobky, mydlá, čistiace a dezinfekčné prostriedky, uteráky, dávkovače a ďalšie súvisiace spotrebné a doplnkové položky.</w:t>
      </w:r>
      <w:r>
        <w:rPr>
          <w:lang w:eastAsia="en-US"/>
        </w:rPr>
        <w:t>“.</w:t>
      </w:r>
      <w:r>
        <w:rPr>
          <w:rFonts w:eastAsia="Calibri"/>
        </w:rPr>
        <w:t xml:space="preserve"> </w:t>
      </w:r>
    </w:p>
    <w:p>
      <w:pPr>
        <w:pStyle w:val="style179"/>
        <w:numPr>
          <w:ilvl w:val="1"/>
          <w:numId w:val="4"/>
        </w:numPr>
        <w:spacing w:after="160"/>
        <w:ind w:left="426" w:hanging="426"/>
        <w:jc w:val="both"/>
        <w:rPr>
          <w:rFonts w:eastAsia="Calibri"/>
        </w:rPr>
      </w:pPr>
      <w:r>
        <w:rPr>
          <w:rFonts w:eastAsia="Calibri"/>
        </w:rPr>
        <w:t>Do podrobnej špecifikácie predmetu zákazky v jednotlivých výzvach v rámci zriadeného DNS môžu byť integrované požiadavky spoločensky zodpovedného verejného obstarávania.</w:t>
      </w:r>
    </w:p>
    <w:p>
      <w:pPr>
        <w:pStyle w:val="style179"/>
        <w:numPr>
          <w:ilvl w:val="1"/>
          <w:numId w:val="4"/>
        </w:numPr>
        <w:spacing w:after="160"/>
        <w:ind w:left="426" w:hanging="426"/>
        <w:jc w:val="both"/>
        <w:rPr>
          <w:rFonts w:eastAsia="Calibri"/>
        </w:rPr>
      </w:pPr>
      <w:r>
        <w:rPr>
          <w:rFonts w:eastAsia="Calibri"/>
        </w:rPr>
        <w:t>Konkrétny rozsah predmetu zákazky, podrobná špecifikácia, konkrétne miesta uskutočnenia predmetu zákazky, ako aj ostatné doplňujúce informácie budú súčasťou jednotlivých výziev v rámci zriadeného DNS, ktoré budú zaslané všetkým kvalifikovaným záujemcom prostredníctvom systému JOSEPHINE.</w:t>
      </w:r>
    </w:p>
    <w:p>
      <w:pPr>
        <w:pStyle w:val="style179"/>
        <w:widowControl w:val="false"/>
        <w:numPr>
          <w:ilvl w:val="1"/>
          <w:numId w:val="4"/>
        </w:numPr>
        <w:tabs>
          <w:tab w:val="left" w:leader="none" w:pos="964"/>
        </w:tabs>
        <w:autoSpaceDE w:val="false"/>
        <w:autoSpaceDN w:val="false"/>
        <w:spacing w:before="161" w:after="160"/>
        <w:ind w:left="426" w:right="114" w:hanging="426"/>
        <w:jc w:val="both"/>
        <w:rPr/>
      </w:pPr>
      <w:r>
        <w:t>Rozsah</w:t>
      </w:r>
      <w:r>
        <w:rPr>
          <w:spacing w:val="38"/>
        </w:rPr>
        <w:t xml:space="preserve"> </w:t>
      </w:r>
      <w:r>
        <w:t>verejného</w:t>
      </w:r>
      <w:r>
        <w:rPr>
          <w:spacing w:val="38"/>
        </w:rPr>
        <w:t xml:space="preserve"> </w:t>
      </w:r>
      <w:r>
        <w:t>obstarávania</w:t>
      </w:r>
      <w:r>
        <w:rPr>
          <w:spacing w:val="39"/>
        </w:rPr>
        <w:t xml:space="preserve"> </w:t>
      </w:r>
      <w:r>
        <w:t>vymedzený</w:t>
      </w:r>
      <w:r>
        <w:rPr>
          <w:spacing w:val="38"/>
        </w:rPr>
        <w:t xml:space="preserve"> </w:t>
      </w:r>
      <w:r>
        <w:t>spoločným</w:t>
      </w:r>
      <w:r>
        <w:rPr>
          <w:spacing w:val="40"/>
        </w:rPr>
        <w:t xml:space="preserve"> </w:t>
      </w:r>
      <w:r>
        <w:t>slovníkom</w:t>
      </w:r>
      <w:r>
        <w:rPr>
          <w:spacing w:val="39"/>
        </w:rPr>
        <w:t xml:space="preserve"> </w:t>
      </w:r>
      <w:r>
        <w:t>obstarávania</w:t>
      </w:r>
      <w:r>
        <w:rPr>
          <w:spacing w:val="39"/>
        </w:rPr>
        <w:t xml:space="preserve"> </w:t>
      </w:r>
      <w:r>
        <w:t>(CPV):</w:t>
      </w:r>
    </w:p>
    <w:tbl>
      <w:tblPr>
        <w:tblStyle w:val="style154"/>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513"/>
      </w:tblGrid>
      <w:tr>
        <w:trPr/>
        <w:tc>
          <w:tcPr>
            <w:tcW w:w="2127" w:type="dxa"/>
            <w:tcBorders/>
            <w:vAlign w:val="center"/>
          </w:tcPr>
          <w:p>
            <w:pPr>
              <w:pStyle w:val="style0"/>
              <w:ind w:left="-104"/>
              <w:rPr>
                <w:color w:val="000000"/>
                <w:szCs w:val="24"/>
                <w:lang w:eastAsia="cs-CZ"/>
              </w:rPr>
            </w:pPr>
            <w:r>
              <w:rPr>
                <w:color w:val="000000"/>
                <w:szCs w:val="24"/>
                <w:lang w:eastAsia="cs-CZ"/>
              </w:rPr>
              <w:t>33700000-7</w:t>
            </w:r>
          </w:p>
          <w:p>
            <w:pPr>
              <w:pStyle w:val="style0"/>
              <w:ind w:left="-104"/>
              <w:rPr>
                <w:color w:val="000000"/>
                <w:szCs w:val="24"/>
                <w:lang w:eastAsia="cs-CZ"/>
              </w:rPr>
            </w:pPr>
            <w:r>
              <w:rPr>
                <w:color w:val="000000"/>
                <w:szCs w:val="24"/>
                <w:lang w:eastAsia="cs-CZ"/>
              </w:rPr>
              <w:t>33771000-5</w:t>
            </w:r>
          </w:p>
        </w:tc>
        <w:tc>
          <w:tcPr>
            <w:tcW w:w="7513" w:type="dxa"/>
            <w:tcBorders/>
            <w:vAlign w:val="center"/>
          </w:tcPr>
          <w:p>
            <w:pPr>
              <w:pStyle w:val="style0"/>
              <w:rPr>
                <w:color w:val="000000"/>
                <w:szCs w:val="24"/>
                <w:lang w:eastAsia="cs-CZ"/>
              </w:rPr>
            </w:pPr>
            <w:r>
              <w:rPr>
                <w:color w:val="000000"/>
                <w:szCs w:val="24"/>
                <w:lang w:eastAsia="cs-CZ"/>
              </w:rPr>
              <w:t>Predmety osobnej starostlivosti</w:t>
            </w:r>
          </w:p>
          <w:p>
            <w:pPr>
              <w:pStyle w:val="style0"/>
              <w:rPr>
                <w:color w:val="000000"/>
                <w:szCs w:val="24"/>
                <w:lang w:eastAsia="cs-CZ"/>
              </w:rPr>
            </w:pPr>
            <w:r>
              <w:rPr>
                <w:color w:val="000000"/>
                <w:szCs w:val="24"/>
                <w:lang w:eastAsia="cs-CZ"/>
              </w:rPr>
              <w:t>Hygienické výrobky z papiera</w:t>
            </w:r>
          </w:p>
        </w:tc>
      </w:tr>
      <w:tr>
        <w:tblPrEx/>
        <w:trPr/>
        <w:tc>
          <w:tcPr>
            <w:tcW w:w="2127" w:type="dxa"/>
            <w:tcBorders/>
            <w:vAlign w:val="center"/>
          </w:tcPr>
          <w:p>
            <w:pPr>
              <w:pStyle w:val="style0"/>
              <w:ind w:left="-104"/>
              <w:rPr>
                <w:color w:val="000000"/>
                <w:szCs w:val="24"/>
                <w:lang w:eastAsia="cs-CZ"/>
              </w:rPr>
            </w:pPr>
            <w:r>
              <w:rPr>
                <w:color w:val="000000"/>
                <w:szCs w:val="24"/>
                <w:lang w:eastAsia="cs-CZ"/>
              </w:rPr>
              <w:t>33700000-7</w:t>
            </w:r>
          </w:p>
          <w:p>
            <w:pPr>
              <w:pStyle w:val="style0"/>
              <w:ind w:left="-104"/>
              <w:rPr>
                <w:color w:val="000000"/>
                <w:szCs w:val="24"/>
                <w:lang w:eastAsia="cs-CZ"/>
              </w:rPr>
            </w:pPr>
            <w:r>
              <w:rPr>
                <w:color w:val="000000"/>
                <w:szCs w:val="24"/>
                <w:lang w:eastAsia="cs-CZ"/>
              </w:rPr>
              <w:t>24455000-8</w:t>
            </w:r>
          </w:p>
        </w:tc>
        <w:tc>
          <w:tcPr>
            <w:tcW w:w="7513" w:type="dxa"/>
            <w:tcBorders/>
            <w:vAlign w:val="center"/>
          </w:tcPr>
          <w:p>
            <w:pPr>
              <w:pStyle w:val="style0"/>
              <w:rPr>
                <w:color w:val="000000"/>
                <w:szCs w:val="24"/>
                <w:lang w:eastAsia="cs-CZ"/>
              </w:rPr>
            </w:pPr>
            <w:r>
              <w:rPr>
                <w:color w:val="000000"/>
                <w:szCs w:val="24"/>
                <w:lang w:eastAsia="cs-CZ"/>
              </w:rPr>
              <w:t>Predmety osobnej starostlivosti</w:t>
            </w:r>
          </w:p>
          <w:p>
            <w:pPr>
              <w:pStyle w:val="style0"/>
              <w:rPr>
                <w:color w:val="000000"/>
                <w:szCs w:val="24"/>
                <w:lang w:eastAsia="cs-CZ"/>
              </w:rPr>
            </w:pPr>
            <w:r>
              <w:rPr>
                <w:color w:val="000000"/>
                <w:szCs w:val="24"/>
                <w:lang w:eastAsia="cs-CZ"/>
              </w:rPr>
              <w:t>Dezinfekčné prostriedky</w:t>
            </w:r>
          </w:p>
        </w:tc>
      </w:tr>
      <w:tr>
        <w:tblPrEx/>
        <w:trPr/>
        <w:tc>
          <w:tcPr>
            <w:tcW w:w="2127" w:type="dxa"/>
            <w:tcBorders/>
            <w:vAlign w:val="center"/>
          </w:tcPr>
          <w:p>
            <w:pPr>
              <w:pStyle w:val="style0"/>
              <w:ind w:left="-104"/>
              <w:rPr>
                <w:color w:val="000000"/>
                <w:szCs w:val="24"/>
                <w:lang w:eastAsia="cs-CZ"/>
              </w:rPr>
            </w:pPr>
            <w:r>
              <w:rPr>
                <w:color w:val="000000"/>
                <w:szCs w:val="24"/>
                <w:lang w:eastAsia="cs-CZ"/>
              </w:rPr>
              <w:t>33700000-7</w:t>
            </w:r>
          </w:p>
          <w:p>
            <w:pPr>
              <w:pStyle w:val="style0"/>
              <w:ind w:left="-104"/>
              <w:rPr>
                <w:color w:val="000000"/>
                <w:szCs w:val="24"/>
                <w:lang w:eastAsia="cs-CZ"/>
              </w:rPr>
            </w:pPr>
            <w:r>
              <w:rPr>
                <w:color w:val="000000"/>
                <w:szCs w:val="24"/>
                <w:lang w:eastAsia="cs-CZ"/>
              </w:rPr>
              <w:t>39800000-0</w:t>
            </w:r>
          </w:p>
        </w:tc>
        <w:tc>
          <w:tcPr>
            <w:tcW w:w="7513" w:type="dxa"/>
            <w:tcBorders/>
            <w:vAlign w:val="center"/>
          </w:tcPr>
          <w:p>
            <w:pPr>
              <w:pStyle w:val="style0"/>
              <w:rPr>
                <w:color w:val="000000"/>
                <w:szCs w:val="24"/>
                <w:lang w:eastAsia="cs-CZ"/>
              </w:rPr>
            </w:pPr>
            <w:r>
              <w:rPr>
                <w:color w:val="000000"/>
                <w:szCs w:val="24"/>
                <w:lang w:eastAsia="cs-CZ"/>
              </w:rPr>
              <w:t>Predmety osobnej starostlivosti</w:t>
            </w:r>
          </w:p>
          <w:p>
            <w:pPr>
              <w:pStyle w:val="style0"/>
              <w:rPr>
                <w:color w:val="000000"/>
                <w:szCs w:val="24"/>
                <w:lang w:eastAsia="cs-CZ"/>
              </w:rPr>
            </w:pPr>
            <w:r>
              <w:rPr>
                <w:color w:val="000000"/>
                <w:szCs w:val="24"/>
                <w:lang w:eastAsia="cs-CZ"/>
              </w:rPr>
              <w:t>Čistiace a leštiace výrobky</w:t>
            </w:r>
          </w:p>
        </w:tc>
      </w:tr>
      <w:tr>
        <w:tblPrEx/>
        <w:trPr/>
        <w:tc>
          <w:tcPr>
            <w:tcW w:w="2127" w:type="dxa"/>
            <w:tcBorders/>
            <w:vAlign w:val="center"/>
          </w:tcPr>
          <w:p>
            <w:pPr>
              <w:pStyle w:val="style0"/>
              <w:ind w:left="-104"/>
              <w:rPr>
                <w:color w:val="000000"/>
                <w:szCs w:val="24"/>
                <w:lang w:eastAsia="cs-CZ"/>
              </w:rPr>
            </w:pPr>
            <w:r>
              <w:rPr>
                <w:color w:val="000000"/>
                <w:szCs w:val="24"/>
                <w:lang w:eastAsia="cs-CZ"/>
              </w:rPr>
              <w:t>33700000-7</w:t>
            </w:r>
          </w:p>
          <w:p>
            <w:pPr>
              <w:pStyle w:val="style0"/>
              <w:ind w:left="-104"/>
              <w:rPr>
                <w:color w:val="000000"/>
                <w:szCs w:val="24"/>
                <w:lang w:eastAsia="cs-CZ"/>
              </w:rPr>
            </w:pPr>
            <w:r>
              <w:rPr>
                <w:color w:val="000000"/>
                <w:szCs w:val="24"/>
                <w:lang w:eastAsia="cs-CZ"/>
              </w:rPr>
              <w:t>39831000-6</w:t>
            </w:r>
          </w:p>
        </w:tc>
        <w:tc>
          <w:tcPr>
            <w:tcW w:w="7513" w:type="dxa"/>
            <w:tcBorders/>
            <w:vAlign w:val="center"/>
          </w:tcPr>
          <w:p>
            <w:pPr>
              <w:pStyle w:val="style0"/>
              <w:rPr>
                <w:color w:val="000000"/>
                <w:szCs w:val="24"/>
                <w:lang w:eastAsia="cs-CZ"/>
              </w:rPr>
            </w:pPr>
            <w:r>
              <w:rPr>
                <w:color w:val="000000"/>
                <w:szCs w:val="24"/>
                <w:lang w:eastAsia="cs-CZ"/>
              </w:rPr>
              <w:t>Predmety osobnej starostlivosti</w:t>
            </w:r>
          </w:p>
          <w:p>
            <w:pPr>
              <w:pStyle w:val="style0"/>
              <w:rPr>
                <w:color w:val="000000"/>
                <w:szCs w:val="24"/>
                <w:lang w:eastAsia="cs-CZ"/>
              </w:rPr>
            </w:pPr>
            <w:r>
              <w:rPr>
                <w:color w:val="000000"/>
                <w:szCs w:val="24"/>
                <w:lang w:eastAsia="cs-CZ"/>
              </w:rPr>
              <w:t>Pracie prostriedky</w:t>
            </w:r>
          </w:p>
        </w:tc>
      </w:tr>
      <w:tr>
        <w:tblPrEx/>
        <w:trPr/>
        <w:tc>
          <w:tcPr>
            <w:tcW w:w="2127" w:type="dxa"/>
            <w:tcBorders/>
            <w:vAlign w:val="center"/>
          </w:tcPr>
          <w:p>
            <w:pPr>
              <w:pStyle w:val="style0"/>
              <w:ind w:left="-104"/>
              <w:rPr>
                <w:color w:val="000000"/>
                <w:szCs w:val="24"/>
                <w:lang w:eastAsia="cs-CZ"/>
              </w:rPr>
            </w:pPr>
            <w:r>
              <w:rPr>
                <w:color w:val="000000"/>
                <w:szCs w:val="24"/>
                <w:lang w:eastAsia="cs-CZ"/>
              </w:rPr>
              <w:t>33700000-7</w:t>
            </w:r>
          </w:p>
          <w:p>
            <w:pPr>
              <w:pStyle w:val="style0"/>
              <w:ind w:left="-104"/>
              <w:rPr>
                <w:color w:val="000000"/>
                <w:szCs w:val="24"/>
                <w:lang w:eastAsia="cs-CZ"/>
              </w:rPr>
            </w:pPr>
            <w:r>
              <w:rPr>
                <w:color w:val="000000"/>
                <w:szCs w:val="24"/>
                <w:lang w:eastAsia="cs-CZ"/>
              </w:rPr>
              <w:t>39830000-9</w:t>
            </w:r>
          </w:p>
        </w:tc>
        <w:tc>
          <w:tcPr>
            <w:tcW w:w="7513" w:type="dxa"/>
            <w:tcBorders/>
            <w:vAlign w:val="center"/>
          </w:tcPr>
          <w:p>
            <w:pPr>
              <w:pStyle w:val="style0"/>
              <w:rPr>
                <w:color w:val="000000"/>
                <w:szCs w:val="24"/>
                <w:lang w:eastAsia="cs-CZ"/>
              </w:rPr>
            </w:pPr>
            <w:r>
              <w:rPr>
                <w:color w:val="000000"/>
                <w:szCs w:val="24"/>
                <w:lang w:eastAsia="cs-CZ"/>
              </w:rPr>
              <w:t>Predmety osobnej starostlivosti</w:t>
            </w:r>
          </w:p>
          <w:p>
            <w:pPr>
              <w:pStyle w:val="style0"/>
              <w:rPr>
                <w:color w:val="000000"/>
                <w:szCs w:val="24"/>
                <w:lang w:eastAsia="cs-CZ"/>
              </w:rPr>
            </w:pPr>
            <w:r>
              <w:rPr>
                <w:color w:val="000000"/>
                <w:szCs w:val="24"/>
                <w:lang w:eastAsia="cs-CZ"/>
              </w:rPr>
              <w:t>Čistiace výrobky</w:t>
            </w:r>
          </w:p>
        </w:tc>
      </w:tr>
      <w:tr>
        <w:tblPrEx/>
        <w:trPr/>
        <w:tc>
          <w:tcPr>
            <w:tcW w:w="2127" w:type="dxa"/>
            <w:tcBorders/>
            <w:vAlign w:val="center"/>
          </w:tcPr>
          <w:p>
            <w:pPr>
              <w:pStyle w:val="style0"/>
              <w:ind w:left="-104"/>
              <w:rPr>
                <w:color w:val="000000"/>
                <w:szCs w:val="24"/>
                <w:lang w:eastAsia="cs-CZ"/>
              </w:rPr>
            </w:pPr>
            <w:r>
              <w:rPr>
                <w:color w:val="000000"/>
                <w:szCs w:val="24"/>
                <w:lang w:eastAsia="cs-CZ"/>
              </w:rPr>
              <w:t>33700000-7</w:t>
            </w:r>
          </w:p>
          <w:p>
            <w:pPr>
              <w:pStyle w:val="style0"/>
              <w:ind w:left="-104"/>
              <w:rPr>
                <w:color w:val="000000"/>
                <w:szCs w:val="24"/>
                <w:lang w:eastAsia="cs-CZ"/>
              </w:rPr>
            </w:pPr>
            <w:r>
              <w:rPr>
                <w:color w:val="000000"/>
                <w:szCs w:val="24"/>
                <w:lang w:eastAsia="cs-CZ"/>
              </w:rPr>
              <w:t>42955000-5</w:t>
            </w:r>
          </w:p>
        </w:tc>
        <w:tc>
          <w:tcPr>
            <w:tcW w:w="7513" w:type="dxa"/>
            <w:tcBorders/>
            <w:vAlign w:val="center"/>
          </w:tcPr>
          <w:p>
            <w:pPr>
              <w:pStyle w:val="style0"/>
              <w:rPr>
                <w:color w:val="000000"/>
                <w:szCs w:val="24"/>
                <w:lang w:eastAsia="cs-CZ"/>
              </w:rPr>
            </w:pPr>
            <w:r>
              <w:rPr>
                <w:color w:val="000000"/>
                <w:szCs w:val="24"/>
                <w:lang w:eastAsia="cs-CZ"/>
              </w:rPr>
              <w:t>Predmety osobnej starostlivosti</w:t>
            </w:r>
          </w:p>
          <w:p>
            <w:pPr>
              <w:pStyle w:val="style0"/>
              <w:rPr>
                <w:color w:val="000000"/>
                <w:szCs w:val="24"/>
                <w:lang w:eastAsia="cs-CZ"/>
              </w:rPr>
            </w:pPr>
            <w:r>
              <w:rPr>
                <w:color w:val="000000"/>
                <w:szCs w:val="24"/>
                <w:lang w:eastAsia="cs-CZ"/>
              </w:rPr>
              <w:t>Časti filtračných zariadení</w:t>
            </w:r>
          </w:p>
        </w:tc>
      </w:tr>
      <w:bookmarkStart w:id="6" w:name="_Toc21598204"/>
      <w:bookmarkStart w:id="7" w:name="_Toc204781405"/>
    </w:tbl>
    <w:p>
      <w:pPr>
        <w:pStyle w:val="style2"/>
        <w:rPr/>
      </w:pPr>
      <w:r>
        <w:t>Komunikácia a </w:t>
      </w:r>
      <w:bookmarkEnd w:id="6"/>
      <w:r>
        <w:t>vysvetľovanie</w:t>
      </w:r>
      <w:bookmarkEnd w:id="7"/>
      <w:r>
        <w:t xml:space="preserve"> </w:t>
      </w:r>
    </w:p>
    <w:p>
      <w:pPr>
        <w:pStyle w:val="style157"/>
        <w:numPr>
          <w:ilvl w:val="1"/>
          <w:numId w:val="24"/>
        </w:numPr>
        <w:spacing w:after="160"/>
        <w:ind w:left="426" w:hanging="426"/>
        <w:jc w:val="both"/>
        <w:rPr/>
      </w:pPr>
      <w:r>
        <w:t xml:space="preserve">Komunikácia medzi verejným obstarávateľom a záujemcom/uchádzačom sa uskutočňuje v slovenskom alebo českom jazyku výhradne prostredníctvom informačného systému JOSEPHINE, prevádzkovaného na elektronickej adrese: </w:t>
      </w:r>
      <w:r>
        <w:rPr>
          <w:rStyle w:val="style85"/>
        </w:rPr>
        <w:t>https://josephine.proebiz.com/</w:t>
      </w:r>
      <w:r>
        <w:t>. Tento spôsob komunikácie sa týka akejkoľvek komunikácie a podaní medzi verejným obstarávateľom a záujemcami/uchádzačmi počas celého procesu verejného obstarávania.</w:t>
      </w:r>
      <w:bookmarkStart w:id="8" w:name="_Hlk22499284"/>
    </w:p>
    <w:p>
      <w:pPr>
        <w:pStyle w:val="style157"/>
        <w:numPr>
          <w:ilvl w:val="1"/>
          <w:numId w:val="24"/>
        </w:numPr>
        <w:spacing w:after="160"/>
        <w:ind w:left="426" w:hanging="426"/>
        <w:jc w:val="both"/>
        <w:rPr/>
      </w:pPr>
      <w:r>
        <w:t xml:space="preserve">Uchádzač má možnosť registrovať sa do systému </w:t>
      </w:r>
      <w:r>
        <w:rPr>
          <w:rFonts w:eastAsia="Calibri"/>
        </w:rPr>
        <w:t>JOSEPHINE</w:t>
      </w:r>
      <w:r>
        <w:t xml:space="preserve"> na stránke </w:t>
      </w:r>
      <w:r>
        <w:rPr/>
        <w:fldChar w:fldCharType="begin"/>
      </w:r>
      <w:r>
        <w:instrText xml:space="preserve"> HYPERLINK "https://josephine.proebiz.com/" </w:instrText>
      </w:r>
      <w:r>
        <w:rPr/>
        <w:fldChar w:fldCharType="separate"/>
      </w:r>
      <w:r>
        <w:rPr>
          <w:rStyle w:val="style85"/>
        </w:rPr>
        <w:t>https://josephine.proebiz.com/</w:t>
      </w:r>
      <w:r>
        <w:rPr/>
        <w:fldChar w:fldCharType="end"/>
      </w:r>
      <w:r>
        <w:t xml:space="preserve"> pomocou hesla alebo aj pomocou občianskeho preukazu s elektronickým čipom a bezpečnostným osobnostným kódom (eID). </w:t>
      </w:r>
    </w:p>
    <w:p>
      <w:pPr>
        <w:pStyle w:val="style157"/>
        <w:numPr>
          <w:ilvl w:val="1"/>
          <w:numId w:val="24"/>
        </w:numPr>
        <w:spacing w:after="160"/>
        <w:ind w:left="426" w:hanging="426"/>
        <w:jc w:val="both"/>
        <w:rPr/>
      </w:pPr>
      <w:r>
        <w:rPr>
          <w:color w:val="000000"/>
          <w:sz w:val="23"/>
          <w:szCs w:val="23"/>
        </w:rPr>
        <w:t xml:space="preserve">Manuál registrácie Vás rýchlo a jednoducho prevedie procesom registrácie v systéme JOSEPHINE: </w:t>
      </w:r>
      <w:r>
        <w:rPr>
          <w:rStyle w:val="style85"/>
        </w:rPr>
        <w:t>https://store.proebiz.com/docs/josephine/sk/Manual_registracie_SK.pdf</w:t>
      </w:r>
      <w:r>
        <w:rPr>
          <w:color w:val="000000"/>
          <w:sz w:val="23"/>
          <w:szCs w:val="23"/>
        </w:rPr>
        <w:t xml:space="preserve">. Pre lepší prehľad tu nájdete tiež opis základných obrazoviek systému. </w:t>
      </w:r>
    </w:p>
    <w:p>
      <w:pPr>
        <w:pStyle w:val="style157"/>
        <w:numPr>
          <w:ilvl w:val="1"/>
          <w:numId w:val="24"/>
        </w:numPr>
        <w:spacing w:after="160"/>
        <w:ind w:left="426" w:hanging="426"/>
        <w:jc w:val="both"/>
        <w:rPr/>
      </w:pPr>
      <w:r>
        <w:t xml:space="preserve">Na používanie systému JOSEPHINE je nutné spĺňať nasledovné technické požiadavky: </w:t>
      </w:r>
      <w:r>
        <w:rPr/>
        <w:fldChar w:fldCharType="begin"/>
      </w:r>
      <w:r>
        <w:instrText xml:space="preserve"> HYPERLINK "https://store.proebiz.com/docs/josephine/sk/Technicke_poziadavky_sw_JOSEPHINE.pdf" </w:instrText>
      </w:r>
      <w:r>
        <w:rPr/>
        <w:fldChar w:fldCharType="separate"/>
      </w:r>
      <w:r>
        <w:rPr>
          <w:rStyle w:val="style85"/>
        </w:rPr>
        <w:t>https://store.proebiz.com/docs/josephine/sk/Technicke_poziadavky_sw_JOSEPHINE.pdf</w:t>
      </w:r>
      <w:r>
        <w:rPr/>
        <w:fldChar w:fldCharType="end"/>
      </w:r>
      <w:bookmarkEnd w:id="8"/>
    </w:p>
    <w:p>
      <w:pPr>
        <w:pStyle w:val="style157"/>
        <w:numPr>
          <w:ilvl w:val="1"/>
          <w:numId w:val="24"/>
        </w:numPr>
        <w:spacing w:after="160"/>
        <w:ind w:left="426" w:hanging="426"/>
        <w:jc w:val="both"/>
        <w:rPr/>
      </w:pPr>
      <w:r>
        <w:rPr>
          <w:color w:val="000000"/>
          <w:sz w:val="23"/>
          <w:szCs w:val="23"/>
        </w:rPr>
        <w:t xml:space="preserve">Pravidlá pre doručovanie – zásielka sa považuje za doručenú, ak jej adresát bude mať objektívnu možnosť oboznámiť sa s jej obsahom, tzn. akonáhle sa dostane zásielka do sféry jeho dispozície.   Záujemcovi, resp. uchádzačovi bude na ním určený kontaktný e-mail (zadaný pri registrácii do systému JOSEPHINE) bezodkladne odoslaná informácia o tom, že k predmetnej zákazke existuje nová zásielka/správa. </w:t>
      </w:r>
    </w:p>
    <w:p>
      <w:pPr>
        <w:pStyle w:val="style157"/>
        <w:numPr>
          <w:ilvl w:val="1"/>
          <w:numId w:val="24"/>
        </w:numPr>
        <w:spacing w:after="160"/>
        <w:ind w:left="426" w:hanging="426"/>
        <w:jc w:val="both"/>
        <w:rPr/>
      </w:pPr>
      <w:r>
        <w:rPr>
          <w:color w:val="000000"/>
          <w:sz w:val="23"/>
          <w:szCs w:val="23"/>
        </w:rPr>
        <w:t>V prípade potreby vysvetliť alebo objasniť údaje uvedené v oznámení o vyhlásení verejného obstarávania, v súťažných podkladoch alebo v inej sprievodnej dokumentácii, môže ktorýkoľvek zo záujemcov požiadať o ich vysvetlenie výlučne prostredníctvom systému JOSEPHINE na webe zákazky uvedenom v bode 1 týchto súťažných podkladov.</w:t>
      </w:r>
    </w:p>
    <w:p>
      <w:pPr>
        <w:pStyle w:val="style157"/>
        <w:numPr>
          <w:ilvl w:val="1"/>
          <w:numId w:val="24"/>
        </w:numPr>
        <w:spacing w:after="160"/>
        <w:ind w:left="426" w:hanging="426"/>
        <w:jc w:val="both"/>
        <w:rPr/>
      </w:pPr>
      <w:r>
        <w:rPr>
          <w:color w:val="000000"/>
          <w:sz w:val="23"/>
          <w:szCs w:val="23"/>
        </w:rPr>
        <w:t>Odpovede na žiadosti o vysvetlenie budú uverejnené vo webovej aplikácií JOSEPHINE v danom DNS v časti Dokumenty. Verejný obstarávateľ o uverejnení odpovede informuje všetkých známych záujemcov.</w:t>
      </w:r>
    </w:p>
    <w:bookmarkStart w:id="9" w:name="_Toc204781406"/>
    <w:p>
      <w:pPr>
        <w:pStyle w:val="style2"/>
        <w:numPr>
          <w:ilvl w:val="0"/>
          <w:numId w:val="26"/>
        </w:numPr>
        <w:rPr/>
      </w:pPr>
      <w:r>
        <w:t>Predkladanie žiadostí o zaradenie do DNS</w:t>
      </w:r>
      <w:bookmarkEnd w:id="9"/>
    </w:p>
    <w:bookmarkStart w:id="10" w:name="_Toc488059674"/>
    <w:bookmarkStart w:id="11" w:name="_Toc21598205"/>
    <w:p>
      <w:pPr>
        <w:pStyle w:val="style179"/>
        <w:numPr>
          <w:ilvl w:val="1"/>
          <w:numId w:val="26"/>
        </w:numPr>
        <w:spacing w:after="160"/>
        <w:ind w:left="426"/>
        <w:jc w:val="both"/>
        <w:rPr/>
      </w:pPr>
      <w:r>
        <w:rPr>
          <w:color w:val="000000"/>
        </w:rPr>
        <w:t xml:space="preserve">Predkladanie žiadosti o zaradenie do DNS je umožnené len autentifikovaným hospodárskym subjektom (podmienka vyplývajúca z </w:t>
      </w:r>
      <w:r>
        <w:rPr/>
        <w:fldChar w:fldCharType="begin"/>
      </w:r>
      <w:r>
        <w:instrText xml:space="preserve"> HYPERLINK "https://www.slov-lex.sk/pravne-predpisy/SK/ZZ/2015/343/20240331" \l ":~:text=%C2%A7%2020%20Komunik%C3%A1cia,alebo%20%C4%8Deskom%20jazyku." </w:instrText>
      </w:r>
      <w:r>
        <w:rPr/>
        <w:fldChar w:fldCharType="separate"/>
      </w:r>
      <w:r>
        <w:rPr>
          <w:rStyle w:val="style85"/>
        </w:rPr>
        <w:t>§ 20 ZVO</w:t>
      </w:r>
      <w:r>
        <w:rPr/>
        <w:fldChar w:fldCharType="end"/>
      </w:r>
      <w:r>
        <w:rPr>
          <w:color w:val="000000"/>
        </w:rPr>
        <w:t xml:space="preserve">). Žiadosť o zaradenie sa predkladá elektronicky do systému JOSEPHINE, umiestnenom na </w:t>
      </w:r>
      <w:r>
        <w:rPr>
          <w:color w:val="000000"/>
          <w:sz w:val="23"/>
          <w:szCs w:val="23"/>
        </w:rPr>
        <w:t>webe zákazky uvedenom v bode 1 týchto súťažných podkladov.</w:t>
      </w:r>
    </w:p>
    <w:p>
      <w:pPr>
        <w:pStyle w:val="style179"/>
        <w:numPr>
          <w:ilvl w:val="1"/>
          <w:numId w:val="26"/>
        </w:numPr>
        <w:spacing w:after="160"/>
        <w:ind w:left="426"/>
        <w:jc w:val="both"/>
        <w:rPr/>
      </w:pPr>
      <w:r>
        <w:t>Autentifikovaný uchádzač si po prihlásení do systému JOSEPHINE v prehľade dynamických nákupných systémov vyberie daný DNS, do ktorého má záujem sa kvalifikovať a vloží svoju žiadosť do určeného formulára na príjem žiadosti, ktorý nájde v záložke „Žiadosti“.</w:t>
      </w:r>
    </w:p>
    <w:p>
      <w:pPr>
        <w:pStyle w:val="style179"/>
        <w:numPr>
          <w:ilvl w:val="1"/>
          <w:numId w:val="26"/>
        </w:numPr>
        <w:spacing w:after="160"/>
        <w:ind w:left="426"/>
        <w:jc w:val="both"/>
        <w:rPr/>
      </w:pPr>
      <w:r>
        <w:t xml:space="preserve">Doklady predložené uchádzačom môžu byť v súlade s </w:t>
      </w:r>
      <w:r>
        <w:rPr/>
        <w:fldChar w:fldCharType="begin"/>
      </w:r>
      <w:r>
        <w:instrText xml:space="preserve"> HYPERLINK "https://www.slov-lex.sk/pravne-predpisy/SK/ZZ/2015/343/20240331" \l ":~:text=Uch%C3%A1dza%C4%8D%20m%C3%B4%C5%BEe%20v,nie%20s%C3%BA%20dotknut%C3%A9." </w:instrText>
      </w:r>
      <w:r>
        <w:rPr/>
        <w:fldChar w:fldCharType="separate"/>
      </w:r>
      <w:r>
        <w:rPr>
          <w:rStyle w:val="style85"/>
        </w:rPr>
        <w:t>§ 49 ods. 7 ZVO</w:t>
      </w:r>
      <w:r>
        <w:rPr/>
        <w:fldChar w:fldCharType="end"/>
      </w:r>
      <w:r>
        <w:t xml:space="preserve"> kópie dokladov </w:t>
      </w:r>
      <w:r>
        <w:br/>
      </w:r>
      <w:r>
        <w:t>v elektronickej podobe (odporúčaný formát PDF).</w:t>
      </w:r>
    </w:p>
    <w:p>
      <w:pPr>
        <w:pStyle w:val="style179"/>
        <w:numPr>
          <w:ilvl w:val="1"/>
          <w:numId w:val="26"/>
        </w:numPr>
        <w:spacing w:after="160"/>
        <w:ind w:left="426"/>
        <w:jc w:val="both"/>
        <w:rPr/>
      </w:pPr>
      <w:r>
        <w:t>V prípade,</w:t>
      </w:r>
      <w:r>
        <w:rPr>
          <w:spacing w:val="-11"/>
        </w:rPr>
        <w:t xml:space="preserve"> </w:t>
      </w:r>
      <w:r>
        <w:t>že</w:t>
      </w:r>
      <w:r>
        <w:rPr>
          <w:spacing w:val="-14"/>
        </w:rPr>
        <w:t xml:space="preserve"> </w:t>
      </w:r>
      <w:r>
        <w:t>sú</w:t>
      </w:r>
      <w:r>
        <w:rPr>
          <w:spacing w:val="-11"/>
        </w:rPr>
        <w:t xml:space="preserve"> </w:t>
      </w:r>
      <w:r>
        <w:t>doklady,</w:t>
      </w:r>
      <w:r>
        <w:rPr>
          <w:spacing w:val="-11"/>
        </w:rPr>
        <w:t xml:space="preserve"> </w:t>
      </w:r>
      <w:r>
        <w:t>ktoré</w:t>
      </w:r>
      <w:r>
        <w:rPr>
          <w:spacing w:val="-14"/>
        </w:rPr>
        <w:t xml:space="preserve"> </w:t>
      </w:r>
      <w:r>
        <w:t>tvoria</w:t>
      </w:r>
      <w:r>
        <w:rPr>
          <w:spacing w:val="-14"/>
        </w:rPr>
        <w:t xml:space="preserve"> </w:t>
      </w:r>
      <w:r>
        <w:t>žiadosť</w:t>
      </w:r>
      <w:r>
        <w:rPr>
          <w:spacing w:val="-13"/>
        </w:rPr>
        <w:t xml:space="preserve"> </w:t>
      </w:r>
      <w:r>
        <w:t>o</w:t>
      </w:r>
      <w:r>
        <w:rPr>
          <w:spacing w:val="-13"/>
        </w:rPr>
        <w:t xml:space="preserve"> </w:t>
      </w:r>
      <w:r>
        <w:t>účasť,</w:t>
      </w:r>
      <w:r>
        <w:rPr>
          <w:spacing w:val="-12"/>
        </w:rPr>
        <w:t xml:space="preserve"> </w:t>
      </w:r>
      <w:r>
        <w:t>vydávané</w:t>
      </w:r>
      <w:r>
        <w:rPr>
          <w:spacing w:val="-14"/>
        </w:rPr>
        <w:t xml:space="preserve"> </w:t>
      </w:r>
      <w:r>
        <w:t>orgánom</w:t>
      </w:r>
      <w:r>
        <w:rPr>
          <w:spacing w:val="-13"/>
        </w:rPr>
        <w:t xml:space="preserve"> </w:t>
      </w:r>
      <w:r>
        <w:t>verejnej</w:t>
      </w:r>
      <w:r>
        <w:rPr>
          <w:spacing w:val="-13"/>
        </w:rPr>
        <w:t xml:space="preserve"> </w:t>
      </w:r>
      <w:r>
        <w:t xml:space="preserve">správy </w:t>
      </w:r>
      <w:r>
        <w:rPr>
          <w:spacing w:val="-58"/>
        </w:rPr>
        <w:t xml:space="preserve"> </w:t>
      </w:r>
      <w:r>
        <w:t>(alebo inou povinnou inštitúciou) priamo v digitálnej podobe, môže uchádzač vložiť do</w:t>
      </w:r>
      <w:r>
        <w:rPr>
          <w:spacing w:val="1"/>
        </w:rPr>
        <w:t xml:space="preserve"> </w:t>
      </w:r>
      <w:r>
        <w:t>systému</w:t>
      </w:r>
      <w:r>
        <w:rPr>
          <w:spacing w:val="-9"/>
        </w:rPr>
        <w:t xml:space="preserve"> </w:t>
      </w:r>
      <w:r>
        <w:t>tento</w:t>
      </w:r>
      <w:r>
        <w:rPr>
          <w:spacing w:val="-9"/>
        </w:rPr>
        <w:t xml:space="preserve"> </w:t>
      </w:r>
      <w:r>
        <w:t>digitálny</w:t>
      </w:r>
      <w:r>
        <w:rPr>
          <w:spacing w:val="-10"/>
        </w:rPr>
        <w:t xml:space="preserve"> </w:t>
      </w:r>
      <w:r>
        <w:t>doklad</w:t>
      </w:r>
      <w:r>
        <w:rPr>
          <w:spacing w:val="-9"/>
        </w:rPr>
        <w:t xml:space="preserve"> </w:t>
      </w:r>
      <w:r>
        <w:t>(vrátane</w:t>
      </w:r>
      <w:r>
        <w:rPr>
          <w:spacing w:val="-10"/>
        </w:rPr>
        <w:t xml:space="preserve"> </w:t>
      </w:r>
      <w:r>
        <w:t>jeho</w:t>
      </w:r>
      <w:r>
        <w:rPr>
          <w:spacing w:val="-9"/>
        </w:rPr>
        <w:t xml:space="preserve"> </w:t>
      </w:r>
      <w:r>
        <w:t>úradného</w:t>
      </w:r>
      <w:r>
        <w:rPr>
          <w:spacing w:val="-10"/>
        </w:rPr>
        <w:t xml:space="preserve"> </w:t>
      </w:r>
      <w:r>
        <w:t>prekladu).</w:t>
      </w:r>
      <w:r>
        <w:rPr>
          <w:spacing w:val="-9"/>
        </w:rPr>
        <w:t xml:space="preserve"> </w:t>
      </w:r>
      <w:r>
        <w:t>Uchádzač</w:t>
      </w:r>
      <w:r>
        <w:rPr>
          <w:spacing w:val="-8"/>
        </w:rPr>
        <w:t xml:space="preserve"> </w:t>
      </w:r>
      <w:r>
        <w:t>je</w:t>
      </w:r>
      <w:r>
        <w:rPr>
          <w:spacing w:val="-9"/>
        </w:rPr>
        <w:t xml:space="preserve"> </w:t>
      </w:r>
      <w:r>
        <w:t>oprávnený</w:t>
      </w:r>
      <w:r>
        <w:rPr>
          <w:spacing w:val="-57"/>
        </w:rPr>
        <w:t xml:space="preserve"> </w:t>
      </w:r>
      <w:r>
        <w:t>použiť aj doklady transformované zaručenou konverziou podľa zákona č. 305/2013 Z. z.</w:t>
      </w:r>
      <w:r>
        <w:rPr>
          <w:spacing w:val="-57"/>
        </w:rPr>
        <w:t xml:space="preserve"> </w:t>
      </w:r>
      <w:r>
        <w:t>o elektronickej podobe výkonu pôsobnosti orgánov verejnej moci a o zmene a doplnení</w:t>
      </w:r>
      <w:r>
        <w:rPr>
          <w:spacing w:val="1"/>
        </w:rPr>
        <w:t xml:space="preserve"> </w:t>
      </w:r>
      <w:r>
        <w:t>niektorých</w:t>
      </w:r>
      <w:r>
        <w:rPr>
          <w:spacing w:val="-1"/>
        </w:rPr>
        <w:t xml:space="preserve"> </w:t>
      </w:r>
      <w:r>
        <w:t>zákonov</w:t>
      </w:r>
      <w:r>
        <w:rPr>
          <w:spacing w:val="2"/>
        </w:rPr>
        <w:t xml:space="preserve"> </w:t>
      </w:r>
      <w:r>
        <w:t xml:space="preserve">(zákon </w:t>
      </w:r>
      <w:r>
        <w:br/>
      </w:r>
      <w:r>
        <w:t>o e-Governmente)</w:t>
      </w:r>
      <w:r>
        <w:rPr>
          <w:spacing w:val="-2"/>
        </w:rPr>
        <w:t xml:space="preserve"> </w:t>
      </w:r>
      <w:r>
        <w:t>v</w:t>
      </w:r>
      <w:r>
        <w:rPr>
          <w:spacing w:val="-1"/>
        </w:rPr>
        <w:t xml:space="preserve"> </w:t>
      </w:r>
      <w:r>
        <w:t>platnom znení.</w:t>
      </w:r>
    </w:p>
    <w:p>
      <w:pPr>
        <w:pStyle w:val="style179"/>
        <w:numPr>
          <w:ilvl w:val="1"/>
          <w:numId w:val="26"/>
        </w:numPr>
        <w:spacing w:after="160"/>
        <w:ind w:left="426"/>
        <w:jc w:val="both"/>
        <w:rPr/>
      </w:pPr>
      <w:r>
        <w:t xml:space="preserve">Uchádzač môže predloženú žiadosť o účasť dodatočne doplniť, zmeniť alebo vziať späť </w:t>
      </w:r>
      <w:r>
        <w:br/>
      </w:r>
      <w:r>
        <w:t xml:space="preserve">do uplynutia základnej lehoty na predkladanie žiadostí o účasť. Doplnenú, zmenenú alebo inak upravenú žiadosť o účasť je potrebné doručiť spôsobom opísaným v týchto súťažných podkladoch v lehote na predkladanie ponúk. V čase plynutia základnej lehoty na predkladanie žiadostí o účasť môže uchádzač pomocou ikony koša žiadosť stiahnuť – zmazať. Po stiahnutí žiadosti je možné predložiť ponuku/žiadosť znovu, </w:t>
      </w:r>
      <w:r>
        <w:rPr>
          <w:b/>
          <w:bCs/>
        </w:rPr>
        <w:t>a to počas celého trvania DNS</w:t>
      </w:r>
      <w:r>
        <w:t>.</w:t>
      </w:r>
    </w:p>
    <w:bookmarkStart w:id="12" w:name="_Toc204781407"/>
    <w:bookmarkEnd w:id="10"/>
    <w:bookmarkEnd w:id="11"/>
    <w:p>
      <w:pPr>
        <w:pStyle w:val="style2"/>
        <w:rPr/>
      </w:pPr>
      <w:r>
        <w:t>Obsah žiadosti o zaradenie</w:t>
      </w:r>
      <w:bookmarkEnd w:id="12"/>
    </w:p>
    <w:p>
      <w:pPr>
        <w:pStyle w:val="style179"/>
        <w:numPr>
          <w:ilvl w:val="1"/>
          <w:numId w:val="1"/>
        </w:numPr>
        <w:spacing w:after="160"/>
        <w:ind w:left="426"/>
        <w:jc w:val="both"/>
        <w:rPr/>
      </w:pPr>
      <w:r>
        <w:t>Žiadosť o zaradenie musí byť verejnému obstarávateľovi predložená prostredníctvom príslušného rozhrania systému JOSEPHINE (záložka „Žiadosti“) v slovenskom alebo v českom jazyku. Žiadosť o zaradenie musí obsahovať nasledujúce dokumenty:</w:t>
      </w:r>
    </w:p>
    <w:p>
      <w:pPr>
        <w:pStyle w:val="style179"/>
        <w:numPr>
          <w:ilvl w:val="2"/>
          <w:numId w:val="1"/>
        </w:numPr>
        <w:spacing w:after="160"/>
        <w:ind w:left="1134" w:hanging="709"/>
        <w:jc w:val="both"/>
        <w:rPr/>
      </w:pPr>
      <w:r>
        <w:t xml:space="preserve">Vyplnenú a podpísanú </w:t>
      </w:r>
      <w:r>
        <w:rPr>
          <w:b/>
          <w:bCs/>
        </w:rPr>
        <w:t>žiadosť o zaradenie</w:t>
      </w:r>
      <w:r>
        <w:t xml:space="preserve"> do DNS (príloha č. 1).</w:t>
      </w:r>
    </w:p>
    <w:p>
      <w:pPr>
        <w:pStyle w:val="style179"/>
        <w:numPr>
          <w:ilvl w:val="2"/>
          <w:numId w:val="1"/>
        </w:numPr>
        <w:spacing w:after="160"/>
        <w:ind w:left="1134" w:hanging="709"/>
        <w:jc w:val="both"/>
        <w:rPr/>
      </w:pPr>
      <w:r>
        <w:t>Splnomocnenie konať za záujemcu alebo skupinu záujemcov, ak žiadosť o zaradenie podpisuje iná osoba ako štatutárny zástupca (len ak je to relevantné).</w:t>
      </w:r>
    </w:p>
    <w:p>
      <w:pPr>
        <w:pStyle w:val="style179"/>
        <w:numPr>
          <w:ilvl w:val="2"/>
          <w:numId w:val="1"/>
        </w:numPr>
        <w:spacing w:after="160"/>
        <w:ind w:left="1134" w:hanging="709"/>
        <w:jc w:val="both"/>
        <w:rPr/>
      </w:pPr>
      <w:r>
        <w:t>Potvrdenia, doklady a dokumenty, prostredníctvom ktorých uchádzač preukazuje splnenie podmienok účasti.</w:t>
      </w:r>
    </w:p>
    <w:bookmarkStart w:id="13" w:name="_Toc204781408"/>
    <w:p>
      <w:pPr>
        <w:pStyle w:val="style2"/>
        <w:rPr/>
      </w:pPr>
      <w:r>
        <w:t>Lehota na predkladanie žiadostí o zaradenie do DNS</w:t>
      </w:r>
      <w:bookmarkEnd w:id="13"/>
      <w:r>
        <w:t xml:space="preserve"> </w:t>
      </w:r>
    </w:p>
    <w:p>
      <w:pPr>
        <w:pStyle w:val="style179"/>
        <w:ind w:left="426"/>
        <w:jc w:val="both"/>
        <w:rPr/>
      </w:pPr>
      <w:r>
        <w:t>Základná</w:t>
      </w:r>
      <w:r>
        <w:rPr>
          <w:spacing w:val="23"/>
        </w:rPr>
        <w:t xml:space="preserve"> </w:t>
      </w:r>
      <w:r>
        <w:t>lehota</w:t>
      </w:r>
      <w:r>
        <w:rPr>
          <w:spacing w:val="24"/>
        </w:rPr>
        <w:t xml:space="preserve"> </w:t>
      </w:r>
      <w:r>
        <w:t>na</w:t>
      </w:r>
      <w:r>
        <w:rPr>
          <w:spacing w:val="24"/>
        </w:rPr>
        <w:t xml:space="preserve"> </w:t>
      </w:r>
      <w:r>
        <w:t>predkladanie</w:t>
      </w:r>
      <w:r>
        <w:rPr>
          <w:spacing w:val="24"/>
        </w:rPr>
        <w:t xml:space="preserve"> </w:t>
      </w:r>
      <w:r>
        <w:t>žiadostí</w:t>
      </w:r>
      <w:r>
        <w:rPr>
          <w:spacing w:val="25"/>
        </w:rPr>
        <w:t xml:space="preserve"> </w:t>
      </w:r>
      <w:r>
        <w:t>o</w:t>
      </w:r>
      <w:r>
        <w:rPr>
          <w:spacing w:val="25"/>
        </w:rPr>
        <w:t xml:space="preserve"> </w:t>
      </w:r>
      <w:r>
        <w:t>zaradenie</w:t>
      </w:r>
      <w:r>
        <w:rPr>
          <w:spacing w:val="24"/>
        </w:rPr>
        <w:t xml:space="preserve"> </w:t>
      </w:r>
      <w:r>
        <w:t>do</w:t>
      </w:r>
      <w:r>
        <w:rPr>
          <w:spacing w:val="25"/>
        </w:rPr>
        <w:t xml:space="preserve"> </w:t>
      </w:r>
      <w:r>
        <w:t>DNS</w:t>
      </w:r>
      <w:r>
        <w:rPr>
          <w:spacing w:val="25"/>
        </w:rPr>
        <w:t xml:space="preserve"> </w:t>
      </w:r>
      <w:r>
        <w:t>je</w:t>
      </w:r>
      <w:r>
        <w:rPr>
          <w:spacing w:val="24"/>
        </w:rPr>
        <w:t xml:space="preserve"> </w:t>
      </w:r>
      <w:r>
        <w:t>uvedená</w:t>
      </w:r>
      <w:r>
        <w:rPr>
          <w:spacing w:val="26"/>
        </w:rPr>
        <w:t xml:space="preserve"> </w:t>
      </w:r>
      <w:r>
        <w:t>v</w:t>
      </w:r>
      <w:r>
        <w:rPr>
          <w:spacing w:val="25"/>
        </w:rPr>
        <w:t> </w:t>
      </w:r>
      <w:r>
        <w:t xml:space="preserve">oznámení </w:t>
      </w:r>
      <w:r>
        <w:rPr>
          <w:spacing w:val="-58"/>
        </w:rPr>
        <w:t xml:space="preserve"> </w:t>
      </w:r>
      <w:r>
        <w:rPr>
          <w:spacing w:val="-58"/>
        </w:rPr>
        <w:br/>
      </w:r>
      <w:r>
        <w:t>o</w:t>
      </w:r>
      <w:r>
        <w:rPr>
          <w:spacing w:val="-1"/>
        </w:rPr>
        <w:t xml:space="preserve"> </w:t>
      </w:r>
      <w:r>
        <w:t>vyhlásení verejného obstarávania, ktorým sa</w:t>
      </w:r>
      <w:r>
        <w:rPr>
          <w:spacing w:val="-2"/>
        </w:rPr>
        <w:t xml:space="preserve"> </w:t>
      </w:r>
      <w:r>
        <w:t>vyhlásilo toto DNS.</w:t>
      </w:r>
    </w:p>
    <w:bookmarkStart w:id="14" w:name="_Toc204781409"/>
    <w:p>
      <w:pPr>
        <w:pStyle w:val="style2"/>
        <w:rPr/>
      </w:pPr>
      <w:r>
        <w:t>Výzva na predkladanie ponúk v rámci zriadeného DNS</w:t>
      </w:r>
      <w:bookmarkEnd w:id="14"/>
      <w:r>
        <w:t xml:space="preserve"> </w:t>
      </w:r>
    </w:p>
    <w:p>
      <w:pPr>
        <w:pStyle w:val="style179"/>
        <w:numPr>
          <w:ilvl w:val="0"/>
          <w:numId w:val="7"/>
        </w:numPr>
        <w:spacing w:after="160"/>
        <w:jc w:val="both"/>
        <w:rPr>
          <w:vanish/>
          <w:szCs w:val="24"/>
        </w:rPr>
      </w:pPr>
    </w:p>
    <w:p>
      <w:pPr>
        <w:pStyle w:val="style179"/>
        <w:numPr>
          <w:ilvl w:val="0"/>
          <w:numId w:val="7"/>
        </w:numPr>
        <w:spacing w:after="160"/>
        <w:jc w:val="both"/>
        <w:rPr>
          <w:vanish/>
          <w:szCs w:val="24"/>
        </w:rPr>
      </w:pPr>
    </w:p>
    <w:p>
      <w:pPr>
        <w:pStyle w:val="style179"/>
        <w:numPr>
          <w:ilvl w:val="0"/>
          <w:numId w:val="7"/>
        </w:numPr>
        <w:spacing w:after="160"/>
        <w:jc w:val="both"/>
        <w:rPr>
          <w:vanish/>
          <w:szCs w:val="24"/>
        </w:rPr>
      </w:pPr>
    </w:p>
    <w:p>
      <w:pPr>
        <w:pStyle w:val="style179"/>
        <w:numPr>
          <w:ilvl w:val="0"/>
          <w:numId w:val="7"/>
        </w:numPr>
        <w:spacing w:after="160"/>
        <w:jc w:val="both"/>
        <w:rPr>
          <w:vanish/>
          <w:szCs w:val="24"/>
        </w:rPr>
      </w:pPr>
    </w:p>
    <w:p>
      <w:pPr>
        <w:pStyle w:val="style179"/>
        <w:numPr>
          <w:ilvl w:val="0"/>
          <w:numId w:val="7"/>
        </w:numPr>
        <w:spacing w:after="160"/>
        <w:jc w:val="both"/>
        <w:rPr>
          <w:vanish/>
          <w:szCs w:val="24"/>
        </w:rPr>
      </w:pPr>
    </w:p>
    <w:p>
      <w:pPr>
        <w:pStyle w:val="style179"/>
        <w:numPr>
          <w:ilvl w:val="1"/>
          <w:numId w:val="7"/>
        </w:numPr>
        <w:spacing w:after="160"/>
        <w:ind w:left="426" w:hanging="426"/>
        <w:jc w:val="both"/>
        <w:rPr>
          <w:szCs w:val="24"/>
        </w:rPr>
      </w:pPr>
      <w:r>
        <w:rPr>
          <w:szCs w:val="24"/>
        </w:rPr>
        <w:t>V rámci zriadeného DNS sa budú vyhlasovať jednotlivé výzvy na predkladanie ponúk na dodanie konkrétnych tovarov. Všetky podrobnosti budú uvedené v konkrétnych výzvach.</w:t>
      </w:r>
    </w:p>
    <w:p>
      <w:pPr>
        <w:pStyle w:val="style179"/>
        <w:numPr>
          <w:ilvl w:val="1"/>
          <w:numId w:val="7"/>
        </w:numPr>
        <w:spacing w:after="160"/>
        <w:ind w:left="426" w:hanging="426"/>
        <w:jc w:val="both"/>
        <w:rPr>
          <w:szCs w:val="24"/>
        </w:rPr>
      </w:pPr>
      <w:r>
        <w:rPr>
          <w:szCs w:val="24"/>
        </w:rPr>
        <w:t xml:space="preserve">Zároveň pôjde aj o poskytnutie súvisiacich služieb: dodanie tovaru na miesto určené verejným obstarávateľom a likvidácia spotrebného materiálu/odpadu. </w:t>
      </w:r>
    </w:p>
    <w:bookmarkStart w:id="15" w:name="_Toc204781410"/>
    <w:p>
      <w:pPr>
        <w:pStyle w:val="style2"/>
        <w:rPr/>
      </w:pPr>
      <w:r>
        <w:t>Lehota na predkladanie ponúk v rámci jednotlivých výziev</w:t>
      </w:r>
      <w:bookmarkEnd w:id="15"/>
    </w:p>
    <w:p>
      <w:pPr>
        <w:pStyle w:val="style179"/>
        <w:numPr>
          <w:ilvl w:val="0"/>
          <w:numId w:val="5"/>
        </w:numPr>
        <w:spacing w:after="160"/>
        <w:jc w:val="both"/>
        <w:rPr>
          <w:vanish/>
          <w:szCs w:val="24"/>
        </w:rPr>
      </w:pPr>
    </w:p>
    <w:p>
      <w:pPr>
        <w:pStyle w:val="style179"/>
        <w:numPr>
          <w:ilvl w:val="0"/>
          <w:numId w:val="5"/>
        </w:numPr>
        <w:spacing w:after="160"/>
        <w:jc w:val="both"/>
        <w:rPr>
          <w:vanish/>
          <w:szCs w:val="24"/>
        </w:rPr>
      </w:pPr>
    </w:p>
    <w:p>
      <w:pPr>
        <w:pStyle w:val="style179"/>
        <w:numPr>
          <w:ilvl w:val="0"/>
          <w:numId w:val="5"/>
        </w:numPr>
        <w:spacing w:after="160"/>
        <w:jc w:val="both"/>
        <w:rPr>
          <w:vanish/>
          <w:szCs w:val="24"/>
        </w:rPr>
      </w:pPr>
    </w:p>
    <w:p>
      <w:pPr>
        <w:pStyle w:val="style179"/>
        <w:numPr>
          <w:ilvl w:val="0"/>
          <w:numId w:val="5"/>
        </w:numPr>
        <w:spacing w:after="160"/>
        <w:jc w:val="both"/>
        <w:rPr>
          <w:vanish/>
          <w:szCs w:val="24"/>
        </w:rPr>
      </w:pPr>
    </w:p>
    <w:p>
      <w:pPr>
        <w:pStyle w:val="style179"/>
        <w:numPr>
          <w:ilvl w:val="0"/>
          <w:numId w:val="5"/>
        </w:numPr>
        <w:spacing w:after="160"/>
        <w:jc w:val="both"/>
        <w:rPr>
          <w:vanish/>
          <w:szCs w:val="24"/>
        </w:rPr>
      </w:pPr>
    </w:p>
    <w:p>
      <w:pPr>
        <w:pStyle w:val="style179"/>
        <w:numPr>
          <w:ilvl w:val="1"/>
          <w:numId w:val="5"/>
        </w:numPr>
        <w:spacing w:after="160"/>
        <w:ind w:left="426" w:hanging="426"/>
        <w:jc w:val="both"/>
        <w:rPr>
          <w:szCs w:val="24"/>
        </w:rPr>
      </w:pPr>
      <w:r>
        <w:rPr>
          <w:szCs w:val="24"/>
        </w:rPr>
        <w:t xml:space="preserve">Verejný obstarávateľ určil podľa </w:t>
      </w:r>
      <w:r>
        <w:rPr/>
        <w:fldChar w:fldCharType="begin"/>
      </w:r>
      <w:r>
        <w:instrText xml:space="preserve"> HYPERLINK "https://www.slov-lex.sk/pravne-predpisy/SK/ZZ/2015/343/20240331" \l ":~:text=rozdelen%C3%BD%20do%20kateg%C3%B3ri%C3%AD.-,(4),a%20obstar%C3%A1vate%C4%BE%20nezverej%C5%88uje%20a%20neposiela%20uch%C3%A1dza%C4%8Dom%20ani%20z%C3%A1pisnicu%20z%20otv%C3%A1rania%20pon%C3%BAk.,-(5)" </w:instrText>
      </w:r>
      <w:r>
        <w:rPr/>
        <w:fldChar w:fldCharType="separate"/>
      </w:r>
      <w:r>
        <w:rPr>
          <w:rStyle w:val="style85"/>
          <w:szCs w:val="24"/>
        </w:rPr>
        <w:t>§ 61 ods. 4 ZVO</w:t>
      </w:r>
      <w:r>
        <w:rPr/>
        <w:fldChar w:fldCharType="end"/>
      </w:r>
      <w:r>
        <w:rPr>
          <w:szCs w:val="24"/>
        </w:rPr>
        <w:t xml:space="preserve"> v jednotlivých výzvach lehotu na predkladanie ponúk 10 dní odo dňa odoslania výzvy na predkladanie ponúk. </w:t>
      </w:r>
    </w:p>
    <w:p>
      <w:pPr>
        <w:pStyle w:val="style179"/>
        <w:numPr>
          <w:ilvl w:val="1"/>
          <w:numId w:val="5"/>
        </w:numPr>
        <w:spacing w:after="160"/>
        <w:ind w:left="426" w:hanging="426"/>
        <w:jc w:val="both"/>
        <w:rPr>
          <w:szCs w:val="24"/>
        </w:rPr>
      </w:pPr>
      <w:r>
        <w:t>Ponuka   zaradeného   záujemcu   predložená   po  uplynutí   lehoty  na    predkladanie   ponúk   sa elektronicky neotvorí.</w:t>
      </w:r>
    </w:p>
    <w:bookmarkStart w:id="16" w:name="_Toc204781411"/>
    <w:p>
      <w:pPr>
        <w:pStyle w:val="style2"/>
        <w:rPr/>
      </w:pPr>
      <w:r>
        <w:t>Dôvernosť verejného obstarávania</w:t>
      </w:r>
      <w:bookmarkEnd w:id="16"/>
    </w:p>
    <w:p>
      <w:pPr>
        <w:pStyle w:val="style0"/>
        <w:widowControl w:val="false"/>
        <w:tabs>
          <w:tab w:val="left" w:leader="none" w:pos="1103"/>
        </w:tabs>
        <w:autoSpaceDE w:val="false"/>
        <w:autoSpaceDN w:val="false"/>
        <w:spacing w:before="158"/>
        <w:ind w:right="113"/>
        <w:jc w:val="both"/>
        <w:rPr/>
      </w:pPr>
      <w:r>
        <w:t>Uchádzač</w:t>
      </w:r>
      <w:r>
        <w:rPr>
          <w:spacing w:val="60"/>
        </w:rPr>
        <w:t xml:space="preserve"> </w:t>
      </w:r>
      <w:r>
        <w:t>v ponuke</w:t>
      </w:r>
      <w:r>
        <w:rPr>
          <w:spacing w:val="60"/>
        </w:rPr>
        <w:t xml:space="preserve"> </w:t>
      </w:r>
      <w:r>
        <w:t>označí,</w:t>
      </w:r>
      <w:r>
        <w:rPr>
          <w:spacing w:val="60"/>
        </w:rPr>
        <w:t xml:space="preserve"> </w:t>
      </w:r>
      <w:r>
        <w:t>ktoré</w:t>
      </w:r>
      <w:r>
        <w:rPr>
          <w:spacing w:val="60"/>
        </w:rPr>
        <w:t xml:space="preserve"> </w:t>
      </w:r>
      <w:r>
        <w:t>skutočnosti   považuje</w:t>
      </w:r>
      <w:r>
        <w:rPr>
          <w:spacing w:val="60"/>
        </w:rPr>
        <w:t xml:space="preserve"> </w:t>
      </w:r>
      <w:r>
        <w:t>za</w:t>
      </w:r>
      <w:r>
        <w:rPr>
          <w:spacing w:val="60"/>
        </w:rPr>
        <w:t xml:space="preserve"> </w:t>
      </w:r>
      <w:r>
        <w:t>dôverné.</w:t>
      </w:r>
      <w:r>
        <w:rPr>
          <w:spacing w:val="60"/>
        </w:rPr>
        <w:t xml:space="preserve"> </w:t>
      </w:r>
      <w:r>
        <w:t>Podľa</w:t>
      </w:r>
      <w:r>
        <w:rPr>
          <w:spacing w:val="60"/>
        </w:rPr>
        <w:t xml:space="preserve"> </w:t>
      </w:r>
      <w:r>
        <w:t>ZVO</w:t>
      </w:r>
      <w:r>
        <w:rPr>
          <w:spacing w:val="1"/>
        </w:rPr>
        <w:t xml:space="preserve"> </w:t>
      </w:r>
      <w:r>
        <w:t>môžu</w:t>
      </w:r>
      <w:r>
        <w:rPr>
          <w:spacing w:val="1"/>
        </w:rPr>
        <w:t xml:space="preserve"> </w:t>
      </w:r>
      <w:r>
        <w:t>byť</w:t>
      </w:r>
      <w:r>
        <w:rPr>
          <w:spacing w:val="1"/>
        </w:rPr>
        <w:t xml:space="preserve"> </w:t>
      </w:r>
      <w:r>
        <w:t>dôvernými</w:t>
      </w:r>
      <w:r>
        <w:rPr>
          <w:spacing w:val="1"/>
        </w:rPr>
        <w:t xml:space="preserve"> </w:t>
      </w:r>
      <w:r>
        <w:t>informáciami</w:t>
      </w:r>
      <w:r>
        <w:rPr>
          <w:spacing w:val="1"/>
        </w:rPr>
        <w:t xml:space="preserve"> </w:t>
      </w:r>
      <w:r>
        <w:t>výhradne:</w:t>
      </w:r>
      <w:r>
        <w:rPr>
          <w:spacing w:val="1"/>
        </w:rPr>
        <w:t xml:space="preserve"> </w:t>
      </w:r>
      <w:r>
        <w:t>obchodné</w:t>
      </w:r>
      <w:r>
        <w:rPr>
          <w:spacing w:val="1"/>
        </w:rPr>
        <w:t xml:space="preserve"> </w:t>
      </w:r>
      <w:r>
        <w:t>tajomstvo, technické riešenia, a predlohy, návody, výkresy, projektové dokumentácie,</w:t>
      </w:r>
      <w:r>
        <w:rPr>
          <w:spacing w:val="1"/>
        </w:rPr>
        <w:t xml:space="preserve"> </w:t>
      </w:r>
      <w:r>
        <w:t>modely,</w:t>
      </w:r>
      <w:r>
        <w:rPr>
          <w:spacing w:val="-2"/>
        </w:rPr>
        <w:t xml:space="preserve"> </w:t>
      </w:r>
      <w:r>
        <w:t>spôsob</w:t>
      </w:r>
      <w:r>
        <w:rPr>
          <w:spacing w:val="-1"/>
        </w:rPr>
        <w:t xml:space="preserve"> </w:t>
      </w:r>
      <w:r>
        <w:t>výpočtu jednotkových cien.</w:t>
      </w:r>
    </w:p>
    <w:bookmarkStart w:id="17" w:name="_Toc204781412"/>
    <w:p>
      <w:pPr>
        <w:pStyle w:val="style2"/>
        <w:rPr/>
      </w:pPr>
      <w:r>
        <w:t>Preukazovanie splnenia podmienok účasti</w:t>
      </w:r>
      <w:bookmarkEnd w:id="17"/>
    </w:p>
    <w:p>
      <w:pPr>
        <w:pStyle w:val="style179"/>
        <w:widowControl w:val="false"/>
        <w:numPr>
          <w:ilvl w:val="1"/>
          <w:numId w:val="10"/>
        </w:numPr>
        <w:autoSpaceDE w:val="false"/>
        <w:autoSpaceDN w:val="false"/>
        <w:spacing w:before="158"/>
        <w:ind w:left="567" w:right="116" w:hanging="567"/>
        <w:jc w:val="both"/>
        <w:rPr/>
      </w:pPr>
      <w:r>
        <w:t>Tohto verejného obstarávania sa môže zúčastniť len ten, kto spĺňa tieto podmienky účasti týkajúce sa osobného postavenia:</w:t>
      </w:r>
    </w:p>
    <w:p>
      <w:pPr>
        <w:pStyle w:val="style0"/>
        <w:rPr/>
      </w:pPr>
    </w:p>
    <w:bookmarkStart w:id="18" w:name="_Hlk85135148"/>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
        <w:gridCol w:w="4822"/>
        <w:gridCol w:w="1558"/>
        <w:gridCol w:w="1276"/>
        <w:gridCol w:w="1844"/>
      </w:tblGrid>
      <w:tr>
        <w:trPr>
          <w:trHeight w:val="645" w:hRule="atLeast"/>
        </w:trPr>
        <w:tc>
          <w:tcPr>
            <w:tcW w:w="283" w:type="dxa"/>
            <w:tcBorders/>
            <w:shd w:val="clear" w:color="auto" w:fill="d9e2f3"/>
            <w:vAlign w:val="center"/>
            <w:hideMark/>
          </w:tcPr>
          <w:p>
            <w:pPr>
              <w:pStyle w:val="style0"/>
              <w:spacing w:before="20" w:after="20"/>
              <w:jc w:val="center"/>
              <w:textAlignment w:val="baseline"/>
              <w:rPr>
                <w:sz w:val="20"/>
                <w:szCs w:val="20"/>
              </w:rPr>
            </w:pPr>
            <w:r>
              <w:rPr>
                <w:sz w:val="20"/>
                <w:szCs w:val="20"/>
              </w:rPr>
              <w:t> </w:t>
            </w:r>
          </w:p>
        </w:tc>
        <w:tc>
          <w:tcPr>
            <w:tcW w:w="4822" w:type="dxa"/>
            <w:tcBorders/>
            <w:shd w:val="clear" w:color="auto" w:fill="d9e2f3"/>
            <w:vAlign w:val="center"/>
            <w:hideMark/>
          </w:tcPr>
          <w:p>
            <w:pPr>
              <w:pStyle w:val="style0"/>
              <w:jc w:val="center"/>
              <w:rPr>
                <w:b/>
                <w:bCs/>
                <w:sz w:val="20"/>
                <w:szCs w:val="20"/>
              </w:rPr>
            </w:pPr>
            <w:r>
              <w:rPr>
                <w:b/>
                <w:bCs/>
                <w:sz w:val="20"/>
                <w:szCs w:val="20"/>
              </w:rPr>
              <w:t>Znenie</w:t>
            </w:r>
          </w:p>
        </w:tc>
        <w:tc>
          <w:tcPr>
            <w:tcW w:w="1558" w:type="dxa"/>
            <w:tcBorders/>
            <w:shd w:val="clear" w:color="auto" w:fill="d9e2f3"/>
            <w:vAlign w:val="center"/>
            <w:hideMark/>
          </w:tcPr>
          <w:p>
            <w:pPr>
              <w:pStyle w:val="style0"/>
              <w:spacing w:before="20" w:after="20"/>
              <w:jc w:val="center"/>
              <w:textAlignment w:val="baseline"/>
              <w:rPr>
                <w:b/>
                <w:bCs/>
                <w:sz w:val="20"/>
                <w:szCs w:val="20"/>
              </w:rPr>
            </w:pPr>
            <w:r>
              <w:rPr>
                <w:b/>
                <w:bCs/>
                <w:sz w:val="20"/>
                <w:szCs w:val="20"/>
              </w:rPr>
              <w:t>Doklad v zmysle ZVO </w:t>
            </w:r>
          </w:p>
        </w:tc>
        <w:tc>
          <w:tcPr>
            <w:tcW w:w="1276" w:type="dxa"/>
            <w:tcBorders/>
            <w:shd w:val="clear" w:color="auto" w:fill="d9e2f3"/>
            <w:vAlign w:val="center"/>
            <w:hideMark/>
          </w:tcPr>
          <w:p>
            <w:pPr>
              <w:pStyle w:val="style0"/>
              <w:spacing w:before="20" w:after="20"/>
              <w:jc w:val="center"/>
              <w:textAlignment w:val="baseline"/>
              <w:rPr>
                <w:b/>
                <w:bCs/>
                <w:sz w:val="20"/>
                <w:szCs w:val="20"/>
              </w:rPr>
            </w:pPr>
            <w:r>
              <w:rPr>
                <w:b/>
                <w:bCs/>
                <w:sz w:val="20"/>
                <w:szCs w:val="20"/>
              </w:rPr>
              <w:t>Za koho </w:t>
            </w:r>
          </w:p>
        </w:tc>
        <w:tc>
          <w:tcPr>
            <w:tcW w:w="1843" w:type="dxa"/>
            <w:tcBorders/>
            <w:shd w:val="clear" w:color="auto" w:fill="d9e2f3"/>
            <w:vAlign w:val="center"/>
            <w:hideMark/>
          </w:tcPr>
          <w:p>
            <w:pPr>
              <w:pStyle w:val="style0"/>
              <w:spacing w:before="20" w:after="20"/>
              <w:jc w:val="center"/>
              <w:textAlignment w:val="baseline"/>
              <w:rPr>
                <w:b/>
                <w:bCs/>
                <w:sz w:val="20"/>
                <w:szCs w:val="20"/>
              </w:rPr>
            </w:pPr>
            <w:r>
              <w:rPr>
                <w:b/>
                <w:bCs/>
                <w:sz w:val="20"/>
                <w:szCs w:val="20"/>
              </w:rPr>
              <w:t>Predloženie v ponuke </w:t>
            </w:r>
          </w:p>
        </w:tc>
      </w:tr>
      <w:tr>
        <w:tblPrEx/>
        <w:trPr/>
        <w:tc>
          <w:tcPr>
            <w:tcW w:w="283" w:type="dxa"/>
            <w:tcBorders/>
            <w:vAlign w:val="center"/>
            <w:hideMark/>
          </w:tcPr>
          <w:p>
            <w:pPr>
              <w:pStyle w:val="style0"/>
              <w:jc w:val="center"/>
              <w:textAlignment w:val="baseline"/>
              <w:rPr>
                <w:sz w:val="20"/>
                <w:szCs w:val="20"/>
              </w:rPr>
            </w:pPr>
            <w:r>
              <w:rPr>
                <w:sz w:val="20"/>
                <w:szCs w:val="20"/>
              </w:rPr>
              <w:t>A </w:t>
            </w:r>
          </w:p>
        </w:tc>
        <w:tc>
          <w:tcPr>
            <w:tcW w:w="4822" w:type="dxa"/>
            <w:tcBorders/>
            <w:vAlign w:val="center"/>
            <w:hideMark/>
          </w:tcPr>
          <w:p>
            <w:pPr>
              <w:pStyle w:val="style0"/>
              <w:jc w:val="center"/>
              <w:textAlignment w:val="baseline"/>
              <w:rPr>
                <w:sz w:val="20"/>
                <w:szCs w:val="20"/>
              </w:rPr>
            </w:pPr>
            <w:r>
              <w:rPr>
                <w:sz w:val="20"/>
                <w:szCs w:val="20"/>
                <w:shd w:val="clear" w:color="auto" w:fill="ffffff"/>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w:t>
            </w:r>
            <w:r>
              <w:rPr>
                <w:sz w:val="20"/>
                <w:szCs w:val="20"/>
                <w:shd w:val="clear" w:color="auto" w:fill="ffffff"/>
              </w:rPr>
              <w:t>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58" w:type="dxa"/>
            <w:tcBorders/>
            <w:vAlign w:val="center"/>
            <w:hideMark/>
          </w:tcPr>
          <w:p>
            <w:pPr>
              <w:pStyle w:val="style0"/>
              <w:jc w:val="center"/>
              <w:textAlignment w:val="baseline"/>
              <w:rPr>
                <w:sz w:val="20"/>
                <w:szCs w:val="20"/>
              </w:rPr>
            </w:pPr>
            <w:r>
              <w:rPr>
                <w:sz w:val="20"/>
                <w:szCs w:val="20"/>
              </w:rPr>
              <w:t>Výpis z registra trestov </w:t>
            </w:r>
          </w:p>
        </w:tc>
        <w:tc>
          <w:tcPr>
            <w:tcW w:w="1275" w:type="dxa"/>
            <w:tcBorders/>
            <w:vAlign w:val="center"/>
            <w:hideMark/>
          </w:tcPr>
          <w:p>
            <w:pPr>
              <w:pStyle w:val="style0"/>
              <w:jc w:val="center"/>
              <w:textAlignment w:val="baseline"/>
              <w:rPr>
                <w:sz w:val="20"/>
                <w:szCs w:val="20"/>
              </w:rPr>
            </w:pPr>
            <w:r>
              <w:rPr>
                <w:sz w:val="20"/>
                <w:szCs w:val="20"/>
              </w:rPr>
              <w:t>Právnická osoba/fyzická osoba - podnikateľ </w:t>
            </w:r>
          </w:p>
          <w:p>
            <w:pPr>
              <w:pStyle w:val="style0"/>
              <w:jc w:val="center"/>
              <w:textAlignment w:val="baseline"/>
              <w:rPr>
                <w:sz w:val="20"/>
                <w:szCs w:val="20"/>
              </w:rPr>
            </w:pPr>
            <w:r>
              <w:rPr>
                <w:sz w:val="20"/>
                <w:szCs w:val="20"/>
              </w:rPr>
              <w:t> </w:t>
            </w:r>
          </w:p>
          <w:p>
            <w:pPr>
              <w:pStyle w:val="style0"/>
              <w:jc w:val="center"/>
              <w:textAlignment w:val="baseline"/>
              <w:rPr>
                <w:sz w:val="20"/>
                <w:szCs w:val="20"/>
              </w:rPr>
            </w:pPr>
            <w:r>
              <w:rPr>
                <w:sz w:val="20"/>
                <w:szCs w:val="20"/>
              </w:rPr>
              <w:t>Konatelia </w:t>
            </w:r>
          </w:p>
          <w:p>
            <w:pPr>
              <w:pStyle w:val="style0"/>
              <w:jc w:val="center"/>
              <w:textAlignment w:val="baseline"/>
              <w:rPr>
                <w:sz w:val="20"/>
                <w:szCs w:val="20"/>
              </w:rPr>
            </w:pPr>
          </w:p>
          <w:p>
            <w:pPr>
              <w:pStyle w:val="style0"/>
              <w:jc w:val="center"/>
              <w:textAlignment w:val="baseline"/>
              <w:rPr>
                <w:sz w:val="20"/>
                <w:szCs w:val="20"/>
              </w:rPr>
            </w:pPr>
            <w:r>
              <w:rPr>
                <w:sz w:val="20"/>
                <w:szCs w:val="20"/>
              </w:rPr>
              <w:t>Členovia predstavenstva</w:t>
            </w:r>
          </w:p>
          <w:p>
            <w:pPr>
              <w:pStyle w:val="style0"/>
              <w:jc w:val="center"/>
              <w:textAlignment w:val="baseline"/>
              <w:rPr>
                <w:sz w:val="20"/>
                <w:szCs w:val="20"/>
              </w:rPr>
            </w:pPr>
          </w:p>
          <w:p>
            <w:pPr>
              <w:pStyle w:val="style0"/>
              <w:jc w:val="center"/>
              <w:textAlignment w:val="baseline"/>
              <w:rPr>
                <w:sz w:val="20"/>
                <w:szCs w:val="20"/>
              </w:rPr>
            </w:pPr>
            <w:r>
              <w:rPr>
                <w:sz w:val="20"/>
                <w:szCs w:val="20"/>
              </w:rPr>
              <w:t>Členovia dozornej rady</w:t>
            </w:r>
          </w:p>
          <w:p>
            <w:pPr>
              <w:pStyle w:val="style0"/>
              <w:jc w:val="center"/>
              <w:textAlignment w:val="baseline"/>
              <w:rPr>
                <w:sz w:val="20"/>
                <w:szCs w:val="20"/>
              </w:rPr>
            </w:pPr>
            <w:r>
              <w:rPr>
                <w:sz w:val="20"/>
                <w:szCs w:val="20"/>
              </w:rPr>
              <w:t> </w:t>
            </w:r>
          </w:p>
          <w:p>
            <w:pPr>
              <w:pStyle w:val="style0"/>
              <w:jc w:val="center"/>
              <w:textAlignment w:val="baseline"/>
              <w:rPr>
                <w:sz w:val="20"/>
                <w:szCs w:val="20"/>
              </w:rPr>
            </w:pPr>
            <w:r>
              <w:rPr>
                <w:sz w:val="20"/>
                <w:szCs w:val="20"/>
              </w:rPr>
              <w:t>prokuristi </w:t>
            </w:r>
          </w:p>
        </w:tc>
        <w:tc>
          <w:tcPr>
            <w:tcW w:w="1844" w:type="dxa"/>
            <w:tcBorders/>
            <w:vAlign w:val="center"/>
            <w:hideMark/>
          </w:tcPr>
          <w:p>
            <w:pPr>
              <w:pStyle w:val="style0"/>
              <w:jc w:val="center"/>
              <w:textAlignment w:val="baseline"/>
              <w:rPr>
                <w:sz w:val="20"/>
                <w:szCs w:val="20"/>
              </w:rPr>
            </w:pPr>
            <w:r>
              <w:rPr>
                <w:b/>
                <w:bCs/>
                <w:sz w:val="20"/>
                <w:szCs w:val="20"/>
              </w:rPr>
              <w:t>Áno</w:t>
            </w:r>
            <w:r>
              <w:rPr>
                <w:sz w:val="20"/>
                <w:szCs w:val="20"/>
              </w:rPr>
              <w:t>, uchádzač predloží v ponuke výpisy z registra trestov</w:t>
            </w:r>
            <w:r>
              <w:rPr>
                <w:b/>
                <w:bCs/>
                <w:sz w:val="20"/>
                <w:szCs w:val="20"/>
              </w:rPr>
              <w:t xml:space="preserve"> alebo </w:t>
            </w:r>
            <w:r>
              <w:rPr>
                <w:sz w:val="20"/>
                <w:szCs w:val="20"/>
              </w:rPr>
              <w:t xml:space="preserve">údaje potrebné na </w:t>
            </w:r>
            <w:r>
              <w:rPr>
                <w:sz w:val="20"/>
                <w:szCs w:val="20"/>
              </w:rPr>
              <w:t>vyžiadanie výpisu z registra trestov fyzickej osoby</w:t>
            </w:r>
            <w:r>
              <w:rPr>
                <w:rStyle w:val="style38"/>
              </w:rPr>
              <w:footnoteReference w:id="1"/>
            </w:r>
            <w:r>
              <w:rPr>
                <w:sz w:val="20"/>
                <w:szCs w:val="20"/>
              </w:rPr>
              <w:t xml:space="preserve"> </w:t>
            </w:r>
            <w:r>
              <w:rPr>
                <w:b/>
                <w:bCs/>
                <w:sz w:val="20"/>
                <w:szCs w:val="20"/>
              </w:rPr>
              <w:t xml:space="preserve">alebo </w:t>
            </w:r>
            <w:r>
              <w:rPr>
                <w:sz w:val="20"/>
                <w:szCs w:val="20"/>
              </w:rPr>
              <w:t xml:space="preserve">ich </w:t>
            </w:r>
            <w:r>
              <w:rPr>
                <w:b/>
                <w:bCs/>
                <w:sz w:val="20"/>
                <w:szCs w:val="20"/>
              </w:rPr>
              <w:t>dočasne</w:t>
            </w:r>
            <w:r>
              <w:rPr>
                <w:sz w:val="20"/>
                <w:szCs w:val="20"/>
              </w:rPr>
              <w:t xml:space="preserve"> nahradí jednotným európskym dokumentom (JED) </w:t>
            </w:r>
            <w:r>
              <w:rPr>
                <w:b/>
                <w:bCs/>
                <w:sz w:val="20"/>
                <w:szCs w:val="20"/>
              </w:rPr>
              <w:t xml:space="preserve">alebo </w:t>
            </w:r>
            <w:r>
              <w:rPr>
                <w:sz w:val="20"/>
                <w:szCs w:val="20"/>
              </w:rPr>
              <w:t>čestným vyhlásením.</w:t>
            </w:r>
          </w:p>
          <w:p>
            <w:pPr>
              <w:pStyle w:val="style0"/>
              <w:jc w:val="center"/>
              <w:textAlignment w:val="baseline"/>
              <w:rPr>
                <w:sz w:val="20"/>
                <w:szCs w:val="20"/>
              </w:rPr>
            </w:pPr>
          </w:p>
          <w:p>
            <w:pPr>
              <w:pStyle w:val="style0"/>
              <w:jc w:val="center"/>
              <w:textAlignment w:val="baseline"/>
              <w:rPr>
                <w:sz w:val="20"/>
                <w:szCs w:val="20"/>
              </w:rPr>
            </w:pPr>
            <w:r>
              <w:rPr>
                <w:sz w:val="20"/>
                <w:szCs w:val="20"/>
              </w:rPr>
              <w:t>Povinnosť predložiť doklady sa nevzťahuje na uchádzača zapísaného v </w:t>
            </w:r>
            <w:r>
              <w:rPr>
                <w:b/>
                <w:bCs/>
                <w:sz w:val="20"/>
                <w:szCs w:val="20"/>
              </w:rPr>
              <w:t>zozname hospodárskych subjektov</w:t>
            </w:r>
            <w:r>
              <w:rPr>
                <w:sz w:val="20"/>
                <w:szCs w:val="20"/>
              </w:rPr>
              <w:t xml:space="preserve"> na ÚVO. </w:t>
            </w:r>
          </w:p>
        </w:tc>
      </w:tr>
      <w:tr>
        <w:tblPrEx/>
        <w:trPr/>
        <w:tc>
          <w:tcPr>
            <w:tcW w:w="283" w:type="dxa"/>
            <w:tcBorders/>
            <w:shd w:val="clear" w:color="auto" w:fill="d9e2f3"/>
            <w:vAlign w:val="center"/>
            <w:hideMark/>
          </w:tcPr>
          <w:p>
            <w:pPr>
              <w:pStyle w:val="style0"/>
              <w:spacing w:before="20" w:after="20"/>
              <w:jc w:val="center"/>
              <w:textAlignment w:val="baseline"/>
              <w:rPr>
                <w:sz w:val="20"/>
                <w:szCs w:val="20"/>
              </w:rPr>
            </w:pPr>
            <w:r>
              <w:rPr>
                <w:sz w:val="20"/>
                <w:szCs w:val="20"/>
              </w:rPr>
              <w:t>B </w:t>
            </w:r>
          </w:p>
        </w:tc>
        <w:tc>
          <w:tcPr>
            <w:tcW w:w="4822" w:type="dxa"/>
            <w:tcBorders/>
            <w:shd w:val="clear" w:color="auto" w:fill="d9e2f3"/>
            <w:vAlign w:val="center"/>
            <w:hideMark/>
          </w:tcPr>
          <w:p>
            <w:pPr>
              <w:pStyle w:val="style0"/>
              <w:jc w:val="center"/>
              <w:rPr>
                <w:sz w:val="20"/>
                <w:szCs w:val="20"/>
              </w:rPr>
            </w:pPr>
            <w:r>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58" w:type="dxa"/>
            <w:tcBorders/>
            <w:shd w:val="clear" w:color="auto" w:fill="d9e2f3"/>
            <w:vAlign w:val="center"/>
            <w:hideMark/>
          </w:tcPr>
          <w:p>
            <w:pPr>
              <w:pStyle w:val="style0"/>
              <w:spacing w:before="20" w:after="20"/>
              <w:jc w:val="center"/>
              <w:textAlignment w:val="baseline"/>
              <w:rPr>
                <w:sz w:val="20"/>
                <w:szCs w:val="20"/>
              </w:rPr>
            </w:pPr>
            <w:r>
              <w:rPr>
                <w:sz w:val="20"/>
                <w:szCs w:val="20"/>
              </w:rPr>
              <w:t>Výpis zo zdravotnej poisťovne </w:t>
            </w:r>
          </w:p>
          <w:p>
            <w:pPr>
              <w:pStyle w:val="style0"/>
              <w:spacing w:before="20" w:after="20"/>
              <w:jc w:val="center"/>
              <w:textAlignment w:val="baseline"/>
              <w:rPr>
                <w:sz w:val="20"/>
                <w:szCs w:val="20"/>
              </w:rPr>
            </w:pPr>
            <w:r>
              <w:rPr>
                <w:sz w:val="20"/>
                <w:szCs w:val="20"/>
              </w:rPr>
              <w:t>Výpis zo sociálnej poisťovne </w:t>
            </w:r>
          </w:p>
        </w:tc>
        <w:tc>
          <w:tcPr>
            <w:tcW w:w="1275" w:type="dxa"/>
            <w:tcBorders/>
            <w:shd w:val="clear" w:color="auto" w:fill="d9e2f3"/>
            <w:vAlign w:val="center"/>
            <w:hideMark/>
          </w:tcPr>
          <w:p>
            <w:pPr>
              <w:pStyle w:val="style0"/>
              <w:spacing w:before="20" w:after="20"/>
              <w:jc w:val="center"/>
              <w:textAlignment w:val="baseline"/>
              <w:rPr>
                <w:sz w:val="20"/>
                <w:szCs w:val="20"/>
              </w:rPr>
            </w:pPr>
            <w:r>
              <w:rPr>
                <w:sz w:val="20"/>
                <w:szCs w:val="20"/>
              </w:rPr>
              <w:t>Právnická osoba/fyzická osoba - podnikateľ  </w:t>
            </w:r>
          </w:p>
        </w:tc>
        <w:tc>
          <w:tcPr>
            <w:tcW w:w="1844" w:type="dxa"/>
            <w:tcBorders/>
            <w:shd w:val="clear" w:color="auto" w:fill="d9e2f3"/>
            <w:vAlign w:val="center"/>
            <w:hideMark/>
          </w:tcPr>
          <w:p>
            <w:pPr>
              <w:pStyle w:val="style0"/>
              <w:spacing w:before="20" w:after="20"/>
              <w:jc w:val="center"/>
              <w:textAlignment w:val="baseline"/>
              <w:rPr>
                <w:sz w:val="20"/>
                <w:szCs w:val="20"/>
              </w:rPr>
            </w:pPr>
            <w:r>
              <w:rPr>
                <w:b/>
                <w:bCs/>
                <w:sz w:val="20"/>
                <w:szCs w:val="20"/>
              </w:rPr>
              <w:t>nie</w:t>
            </w:r>
            <w:r>
              <w:rPr>
                <w:sz w:val="20"/>
                <w:szCs w:val="20"/>
              </w:rPr>
              <w:t> - overuje verejný obstarávateľ</w:t>
            </w:r>
          </w:p>
        </w:tc>
      </w:tr>
      <w:tr>
        <w:tblPrEx/>
        <w:trPr/>
        <w:tc>
          <w:tcPr>
            <w:tcW w:w="283" w:type="dxa"/>
            <w:tcBorders/>
            <w:vAlign w:val="center"/>
            <w:hideMark/>
          </w:tcPr>
          <w:p>
            <w:pPr>
              <w:pStyle w:val="style0"/>
              <w:spacing w:before="20" w:after="20"/>
              <w:jc w:val="center"/>
              <w:textAlignment w:val="baseline"/>
              <w:rPr>
                <w:sz w:val="20"/>
                <w:szCs w:val="20"/>
              </w:rPr>
            </w:pPr>
            <w:r>
              <w:rPr>
                <w:sz w:val="20"/>
                <w:szCs w:val="20"/>
              </w:rPr>
              <w:t>C </w:t>
            </w:r>
          </w:p>
        </w:tc>
        <w:tc>
          <w:tcPr>
            <w:tcW w:w="4822" w:type="dxa"/>
            <w:tcBorders/>
            <w:vAlign w:val="center"/>
            <w:hideMark/>
          </w:tcPr>
          <w:p>
            <w:pPr>
              <w:pStyle w:val="style0"/>
              <w:jc w:val="center"/>
              <w:rPr>
                <w:sz w:val="20"/>
                <w:szCs w:val="20"/>
              </w:rPr>
            </w:pPr>
            <w:r>
              <w:rPr>
                <w:sz w:val="20"/>
                <w:szCs w:val="20"/>
              </w:rPr>
              <w:t>nemá evidované daňové nedoplatky voči daňovému úradu a colnému úradu podľa osobitných predpisov v Slovenskej republike a v štáte sídla, miesta podnikania alebo obvyklého pobytu</w:t>
            </w:r>
          </w:p>
        </w:tc>
        <w:tc>
          <w:tcPr>
            <w:tcW w:w="1558" w:type="dxa"/>
            <w:tcBorders/>
            <w:vAlign w:val="center"/>
            <w:hideMark/>
          </w:tcPr>
          <w:p>
            <w:pPr>
              <w:pStyle w:val="style0"/>
              <w:spacing w:before="20" w:after="20"/>
              <w:jc w:val="center"/>
              <w:textAlignment w:val="baseline"/>
              <w:rPr>
                <w:sz w:val="20"/>
                <w:szCs w:val="20"/>
              </w:rPr>
            </w:pPr>
            <w:r>
              <w:rPr>
                <w:sz w:val="20"/>
                <w:szCs w:val="20"/>
              </w:rPr>
              <w:t>Potvrdenie z finančnej správy </w:t>
            </w:r>
          </w:p>
        </w:tc>
        <w:tc>
          <w:tcPr>
            <w:tcW w:w="1275" w:type="dxa"/>
            <w:tcBorders/>
            <w:vAlign w:val="center"/>
            <w:hideMark/>
          </w:tcPr>
          <w:p>
            <w:pPr>
              <w:pStyle w:val="style0"/>
              <w:spacing w:before="20" w:after="20"/>
              <w:jc w:val="center"/>
              <w:textAlignment w:val="baseline"/>
              <w:rPr>
                <w:sz w:val="20"/>
                <w:szCs w:val="20"/>
              </w:rPr>
            </w:pPr>
            <w:r>
              <w:rPr>
                <w:sz w:val="20"/>
                <w:szCs w:val="20"/>
              </w:rPr>
              <w:t>Právnická osoba/fyzická osoba - podnikateľ  </w:t>
            </w:r>
          </w:p>
        </w:tc>
        <w:tc>
          <w:tcPr>
            <w:tcW w:w="1844" w:type="dxa"/>
            <w:tcBorders/>
            <w:vAlign w:val="center"/>
            <w:hideMark/>
          </w:tcPr>
          <w:p>
            <w:pPr>
              <w:pStyle w:val="style0"/>
              <w:spacing w:before="20" w:after="20"/>
              <w:jc w:val="center"/>
              <w:textAlignment w:val="baseline"/>
              <w:rPr>
                <w:sz w:val="20"/>
                <w:szCs w:val="20"/>
              </w:rPr>
            </w:pPr>
            <w:r>
              <w:rPr>
                <w:b/>
                <w:bCs/>
                <w:sz w:val="20"/>
                <w:szCs w:val="20"/>
              </w:rPr>
              <w:t>nie</w:t>
            </w:r>
            <w:r>
              <w:rPr>
                <w:sz w:val="20"/>
                <w:szCs w:val="20"/>
              </w:rPr>
              <w:t xml:space="preserve"> - overuje verejný obstarávateľ </w:t>
            </w:r>
          </w:p>
        </w:tc>
      </w:tr>
      <w:tr>
        <w:tblPrEx/>
        <w:trPr/>
        <w:tc>
          <w:tcPr>
            <w:tcW w:w="283" w:type="dxa"/>
            <w:tcBorders/>
            <w:shd w:val="clear" w:color="auto" w:fill="d9e2f3"/>
            <w:vAlign w:val="center"/>
            <w:hideMark/>
          </w:tcPr>
          <w:p>
            <w:pPr>
              <w:pStyle w:val="style0"/>
              <w:spacing w:before="20" w:after="20"/>
              <w:jc w:val="center"/>
              <w:textAlignment w:val="baseline"/>
              <w:rPr>
                <w:sz w:val="20"/>
                <w:szCs w:val="20"/>
              </w:rPr>
            </w:pPr>
            <w:r>
              <w:rPr>
                <w:sz w:val="20"/>
                <w:szCs w:val="20"/>
              </w:rPr>
              <w:t>D </w:t>
            </w:r>
          </w:p>
        </w:tc>
        <w:tc>
          <w:tcPr>
            <w:tcW w:w="4822" w:type="dxa"/>
            <w:tcBorders/>
            <w:shd w:val="clear" w:color="auto" w:fill="d9e2f3"/>
            <w:vAlign w:val="center"/>
            <w:hideMark/>
          </w:tcPr>
          <w:p>
            <w:pPr>
              <w:pStyle w:val="style0"/>
              <w:jc w:val="center"/>
              <w:rPr>
                <w:sz w:val="20"/>
                <w:szCs w:val="20"/>
              </w:rPr>
            </w:pPr>
            <w:r>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58" w:type="dxa"/>
            <w:tcBorders/>
            <w:shd w:val="clear" w:color="auto" w:fill="d9e2f3"/>
            <w:vAlign w:val="center"/>
            <w:hideMark/>
          </w:tcPr>
          <w:p>
            <w:pPr>
              <w:pStyle w:val="style0"/>
              <w:spacing w:before="20" w:after="20"/>
              <w:jc w:val="center"/>
              <w:textAlignment w:val="baseline"/>
              <w:rPr>
                <w:sz w:val="20"/>
                <w:szCs w:val="20"/>
              </w:rPr>
            </w:pPr>
            <w:r>
              <w:rPr>
                <w:sz w:val="20"/>
                <w:szCs w:val="20"/>
              </w:rPr>
              <w:t>Potvrdenie súdu </w:t>
            </w:r>
          </w:p>
        </w:tc>
        <w:tc>
          <w:tcPr>
            <w:tcW w:w="1275" w:type="dxa"/>
            <w:tcBorders/>
            <w:shd w:val="clear" w:color="auto" w:fill="d9e2f3"/>
            <w:vAlign w:val="center"/>
            <w:hideMark/>
          </w:tcPr>
          <w:p>
            <w:pPr>
              <w:pStyle w:val="style0"/>
              <w:spacing w:before="20" w:after="20"/>
              <w:jc w:val="center"/>
              <w:textAlignment w:val="baseline"/>
              <w:rPr>
                <w:sz w:val="20"/>
                <w:szCs w:val="20"/>
              </w:rPr>
            </w:pPr>
            <w:r>
              <w:rPr>
                <w:sz w:val="20"/>
                <w:szCs w:val="20"/>
              </w:rPr>
              <w:t>Právnická osoba/fyzická osoba - podnikateľ  </w:t>
            </w:r>
          </w:p>
        </w:tc>
        <w:tc>
          <w:tcPr>
            <w:tcW w:w="1844" w:type="dxa"/>
            <w:tcBorders/>
            <w:shd w:val="clear" w:color="auto" w:fill="d9e2f3"/>
            <w:vAlign w:val="center"/>
            <w:hideMark/>
          </w:tcPr>
          <w:p>
            <w:pPr>
              <w:pStyle w:val="style0"/>
              <w:spacing w:before="20" w:after="20"/>
              <w:jc w:val="center"/>
              <w:textAlignment w:val="baseline"/>
              <w:rPr>
                <w:sz w:val="20"/>
                <w:szCs w:val="20"/>
              </w:rPr>
            </w:pPr>
            <w:r>
              <w:rPr>
                <w:b/>
                <w:bCs/>
                <w:sz w:val="20"/>
                <w:szCs w:val="20"/>
              </w:rPr>
              <w:t>nie</w:t>
            </w:r>
            <w:r>
              <w:rPr>
                <w:sz w:val="20"/>
                <w:szCs w:val="20"/>
              </w:rPr>
              <w:t> - overuje verejný obstarávateľ</w:t>
            </w:r>
          </w:p>
        </w:tc>
      </w:tr>
      <w:tr>
        <w:tblPrEx/>
        <w:trPr/>
        <w:tc>
          <w:tcPr>
            <w:tcW w:w="283" w:type="dxa"/>
            <w:tcBorders/>
            <w:vAlign w:val="center"/>
            <w:hideMark/>
          </w:tcPr>
          <w:p>
            <w:pPr>
              <w:pStyle w:val="style0"/>
              <w:spacing w:before="20" w:after="20"/>
              <w:jc w:val="center"/>
              <w:textAlignment w:val="baseline"/>
              <w:rPr>
                <w:sz w:val="20"/>
                <w:szCs w:val="20"/>
              </w:rPr>
            </w:pPr>
            <w:r>
              <w:rPr>
                <w:sz w:val="20"/>
                <w:szCs w:val="20"/>
              </w:rPr>
              <w:t>E </w:t>
            </w:r>
          </w:p>
        </w:tc>
        <w:tc>
          <w:tcPr>
            <w:tcW w:w="4822" w:type="dxa"/>
            <w:tcBorders/>
            <w:vAlign w:val="center"/>
            <w:hideMark/>
          </w:tcPr>
          <w:p>
            <w:pPr>
              <w:pStyle w:val="style0"/>
              <w:jc w:val="center"/>
              <w:rPr>
                <w:sz w:val="20"/>
                <w:szCs w:val="20"/>
              </w:rPr>
            </w:pPr>
            <w:r>
              <w:rPr>
                <w:sz w:val="20"/>
                <w:szCs w:val="20"/>
              </w:rPr>
              <w:t>je oprávnený dodávať tovar, uskutočňovať stavebné práce alebo poskytovať službu</w:t>
            </w:r>
          </w:p>
        </w:tc>
        <w:tc>
          <w:tcPr>
            <w:tcW w:w="1558" w:type="dxa"/>
            <w:tcBorders/>
            <w:vAlign w:val="center"/>
            <w:hideMark/>
          </w:tcPr>
          <w:p>
            <w:pPr>
              <w:pStyle w:val="style0"/>
              <w:spacing w:before="20" w:after="20"/>
              <w:jc w:val="center"/>
              <w:textAlignment w:val="baseline"/>
              <w:rPr>
                <w:sz w:val="20"/>
                <w:szCs w:val="20"/>
              </w:rPr>
            </w:pPr>
            <w:r>
              <w:rPr>
                <w:sz w:val="20"/>
                <w:szCs w:val="20"/>
              </w:rPr>
              <w:t>Výpis z ORSR </w:t>
            </w:r>
          </w:p>
        </w:tc>
        <w:tc>
          <w:tcPr>
            <w:tcW w:w="1275" w:type="dxa"/>
            <w:tcBorders/>
            <w:vAlign w:val="center"/>
            <w:hideMark/>
          </w:tcPr>
          <w:p>
            <w:pPr>
              <w:pStyle w:val="style0"/>
              <w:spacing w:before="20" w:after="20"/>
              <w:jc w:val="center"/>
              <w:textAlignment w:val="baseline"/>
              <w:rPr>
                <w:sz w:val="20"/>
                <w:szCs w:val="20"/>
              </w:rPr>
            </w:pPr>
            <w:r>
              <w:rPr>
                <w:sz w:val="20"/>
                <w:szCs w:val="20"/>
              </w:rPr>
              <w:t>Právnická osoba/fyzická osoba - podnikateľ  </w:t>
            </w:r>
          </w:p>
        </w:tc>
        <w:tc>
          <w:tcPr>
            <w:tcW w:w="1844" w:type="dxa"/>
            <w:tcBorders/>
            <w:vAlign w:val="center"/>
            <w:hideMark/>
          </w:tcPr>
          <w:p>
            <w:pPr>
              <w:pStyle w:val="style0"/>
              <w:spacing w:before="20" w:after="20"/>
              <w:jc w:val="center"/>
              <w:textAlignment w:val="baseline"/>
              <w:rPr>
                <w:sz w:val="20"/>
                <w:szCs w:val="20"/>
              </w:rPr>
            </w:pPr>
            <w:r>
              <w:rPr>
                <w:b/>
                <w:bCs/>
                <w:sz w:val="20"/>
                <w:szCs w:val="20"/>
              </w:rPr>
              <w:t>nie</w:t>
            </w:r>
            <w:r>
              <w:rPr>
                <w:sz w:val="20"/>
                <w:szCs w:val="20"/>
              </w:rPr>
              <w:t xml:space="preserve"> - overuje verejný obstarávateľ </w:t>
            </w:r>
          </w:p>
        </w:tc>
      </w:tr>
      <w:tr>
        <w:tblPrEx/>
        <w:trPr/>
        <w:tc>
          <w:tcPr>
            <w:tcW w:w="283" w:type="dxa"/>
            <w:tcBorders/>
            <w:shd w:val="clear" w:color="auto" w:fill="d9e2f3"/>
            <w:vAlign w:val="center"/>
            <w:hideMark/>
          </w:tcPr>
          <w:p>
            <w:pPr>
              <w:pStyle w:val="style0"/>
              <w:spacing w:before="20" w:after="20"/>
              <w:jc w:val="center"/>
              <w:textAlignment w:val="baseline"/>
              <w:rPr>
                <w:sz w:val="20"/>
                <w:szCs w:val="20"/>
              </w:rPr>
            </w:pPr>
            <w:r>
              <w:rPr>
                <w:sz w:val="20"/>
                <w:szCs w:val="20"/>
              </w:rPr>
              <w:t>F </w:t>
            </w:r>
          </w:p>
        </w:tc>
        <w:tc>
          <w:tcPr>
            <w:tcW w:w="4822" w:type="dxa"/>
            <w:tcBorders/>
            <w:shd w:val="clear" w:color="auto" w:fill="d9e2f3"/>
            <w:vAlign w:val="center"/>
            <w:hideMark/>
          </w:tcPr>
          <w:p>
            <w:pPr>
              <w:pStyle w:val="style0"/>
              <w:jc w:val="center"/>
              <w:rPr>
                <w:sz w:val="20"/>
                <w:szCs w:val="20"/>
              </w:rPr>
            </w:pPr>
            <w:r>
              <w:rPr>
                <w:sz w:val="20"/>
                <w:szCs w:val="20"/>
              </w:rPr>
              <w:t>nemá uložený zákaz účasti vo verejnom obstarávaní potvrdený konečným rozhodnutím v Slovenskej republike a v štáte sídla, miesta podnikania alebo obvyklého pobytu</w:t>
            </w:r>
          </w:p>
        </w:tc>
        <w:tc>
          <w:tcPr>
            <w:tcW w:w="1558" w:type="dxa"/>
            <w:tcBorders/>
            <w:shd w:val="clear" w:color="auto" w:fill="d9e2f3"/>
            <w:vAlign w:val="center"/>
            <w:hideMark/>
          </w:tcPr>
          <w:p>
            <w:pPr>
              <w:pStyle w:val="style0"/>
              <w:spacing w:before="20" w:after="20"/>
              <w:jc w:val="center"/>
              <w:textAlignment w:val="baseline"/>
              <w:rPr>
                <w:sz w:val="20"/>
                <w:szCs w:val="20"/>
              </w:rPr>
            </w:pPr>
            <w:r>
              <w:rPr>
                <w:sz w:val="20"/>
                <w:szCs w:val="20"/>
              </w:rPr>
              <w:t>Evidencia v Registri osôb so zákazom </w:t>
            </w:r>
          </w:p>
        </w:tc>
        <w:tc>
          <w:tcPr>
            <w:tcW w:w="1275" w:type="dxa"/>
            <w:tcBorders/>
            <w:shd w:val="clear" w:color="auto" w:fill="d9e2f3"/>
            <w:vAlign w:val="center"/>
            <w:hideMark/>
          </w:tcPr>
          <w:p>
            <w:pPr>
              <w:pStyle w:val="style0"/>
              <w:spacing w:before="20" w:after="20"/>
              <w:jc w:val="center"/>
              <w:textAlignment w:val="baseline"/>
              <w:rPr>
                <w:sz w:val="20"/>
                <w:szCs w:val="20"/>
              </w:rPr>
            </w:pPr>
            <w:r>
              <w:rPr>
                <w:sz w:val="20"/>
                <w:szCs w:val="20"/>
              </w:rPr>
              <w:t>Právnická osoba/fyzická osoba - podnikateľ  </w:t>
            </w:r>
          </w:p>
        </w:tc>
        <w:tc>
          <w:tcPr>
            <w:tcW w:w="1844" w:type="dxa"/>
            <w:tcBorders/>
            <w:shd w:val="clear" w:color="auto" w:fill="d9e2f3"/>
            <w:vAlign w:val="center"/>
            <w:hideMark/>
          </w:tcPr>
          <w:p>
            <w:pPr>
              <w:pStyle w:val="style0"/>
              <w:spacing w:before="20" w:after="20"/>
              <w:jc w:val="center"/>
              <w:textAlignment w:val="baseline"/>
              <w:rPr>
                <w:sz w:val="20"/>
                <w:szCs w:val="20"/>
              </w:rPr>
            </w:pPr>
            <w:r>
              <w:rPr>
                <w:b/>
                <w:bCs/>
                <w:sz w:val="20"/>
                <w:szCs w:val="20"/>
              </w:rPr>
              <w:t>nie</w:t>
            </w:r>
            <w:r>
              <w:rPr>
                <w:sz w:val="20"/>
                <w:szCs w:val="20"/>
              </w:rPr>
              <w:t> - overuje verejný obstarávateľ </w:t>
            </w:r>
          </w:p>
        </w:tc>
      </w:tr>
      <w:bookmarkEnd w:id="18"/>
    </w:tbl>
    <w:p>
      <w:pPr>
        <w:pStyle w:val="style0"/>
        <w:spacing w:before="160"/>
        <w:ind w:left="567" w:right="168"/>
        <w:jc w:val="both"/>
        <w:rPr/>
      </w:pPr>
      <w:r>
        <w:rPr>
          <w:b/>
          <w:bCs/>
        </w:rPr>
        <w:t>Upozornenie:</w:t>
      </w:r>
      <w:r>
        <w:t xml:space="preserve"> uchádzači pochádzajúci z iných krajín, ako zo Slovenskej republiky, sú povinní predkladať verejnému obstarávateľovi aj dokumenty uvedené v písm. </w:t>
      </w:r>
      <w:r>
        <w:rPr>
          <w:b/>
          <w:bCs/>
        </w:rPr>
        <w:t>B až F</w:t>
      </w:r>
      <w:r>
        <w:t xml:space="preserve"> (prípadne ich dočasne nahradiť čestným vyhlásením alebo Jednotným európskym dokumentom), keďže verejný obstarávateľ má prístup do registrov zriadených len v Slovenskej republike.</w:t>
      </w:r>
    </w:p>
    <w:p>
      <w:pPr>
        <w:pStyle w:val="style179"/>
        <w:widowControl w:val="false"/>
        <w:numPr>
          <w:ilvl w:val="1"/>
          <w:numId w:val="10"/>
        </w:numPr>
        <w:autoSpaceDE w:val="false"/>
        <w:autoSpaceDN w:val="false"/>
        <w:spacing w:before="158"/>
        <w:ind w:left="567" w:right="116" w:hanging="567"/>
        <w:jc w:val="both"/>
        <w:rPr/>
      </w:pPr>
      <w:r>
        <w:t xml:space="preserve">Uchádzač, ktorý je zapísaný do Zoznamu hospodárskych subjektov vedeného Úradom pre verejné obstarávanie, nie je povinný v procesoch verejného obstarávania predkladať doklady na preukázanie splnenia podmienok účasti týkajúce sa osobného postavenia podľa </w:t>
      </w:r>
      <w:r>
        <w:rPr/>
        <w:fldChar w:fldCharType="begin"/>
      </w:r>
      <w:r>
        <w:instrText xml:space="preserve"> HYPERLINK "https://www.slov-lex.sk/pravne-predpisy/SK/ZZ/2015/343/20240331" \l ":~:text=alebo%20obvykl%C3%A9ho%20pobytu.-,(2),p%C3%ADsm.%20f)%20dolo%C5%BEen%C3%BDm%20%C4%8Destn%C3%BDm%20vyhl%C3%A1sen%C3%ADm.,-(3)" </w:instrText>
      </w:r>
      <w:r>
        <w:rPr/>
        <w:fldChar w:fldCharType="separate"/>
      </w:r>
      <w:r>
        <w:rPr>
          <w:rStyle w:val="style85"/>
        </w:rPr>
        <w:t>§ 32 ods. 2 ZVO</w:t>
      </w:r>
      <w:r>
        <w:rPr/>
        <w:fldChar w:fldCharType="end"/>
      </w:r>
      <w:r>
        <w:t>.</w:t>
      </w:r>
    </w:p>
    <w:p>
      <w:pPr>
        <w:pStyle w:val="style179"/>
        <w:widowControl w:val="false"/>
        <w:numPr>
          <w:ilvl w:val="1"/>
          <w:numId w:val="10"/>
        </w:numPr>
        <w:autoSpaceDE w:val="false"/>
        <w:autoSpaceDN w:val="false"/>
        <w:spacing w:before="158"/>
        <w:ind w:left="567" w:right="116" w:hanging="567"/>
        <w:jc w:val="both"/>
        <w:rPr/>
      </w:pPr>
      <w:r>
        <w:t xml:space="preserve">Uchádzač, ktorý nie je zapísaný do Zoznamu hospodárskych subjektov preukazuje podmienky účasti dokladmi v súlade s </w:t>
      </w:r>
      <w:r>
        <w:rPr/>
        <w:fldChar w:fldCharType="begin"/>
      </w:r>
      <w:r>
        <w:instrText xml:space="preserve"> HYPERLINK "https://www.slov-lex.sk/pravne-predpisy/SK/ZZ/2015/343/20240331" \l ":~:text=alebo%20obvykl%C3%A9ho%20pobytu.-,(2),p%C3%ADsm.%20f)%20dolo%C5%BEen%C3%BDm%20%C4%8Destn%C3%BDm%20vyhl%C3%A1sen%C3%ADm.,-(3)" </w:instrText>
      </w:r>
      <w:r>
        <w:rPr/>
        <w:fldChar w:fldCharType="separate"/>
      </w:r>
      <w:r>
        <w:rPr>
          <w:rStyle w:val="style85"/>
        </w:rPr>
        <w:t>§ 32 ods. 2 ZVO</w:t>
      </w:r>
      <w:r>
        <w:rPr/>
        <w:fldChar w:fldCharType="end"/>
      </w:r>
      <w:r>
        <w:t xml:space="preserve">, resp. Jednotným európskym dokumentom (JED) v súlade s </w:t>
      </w:r>
      <w:r>
        <w:rPr/>
        <w:fldChar w:fldCharType="begin"/>
      </w:r>
      <w:r>
        <w:instrText xml:space="preserve"> HYPERLINK "https://www.slov-lex.sk/pravne-predpisy/SK/ZZ/2015/343/20240331" \l ":~:text=%C2%A7%2039%20Jednotn%C3%BD%20eur%C3%B3psky,tento%20doklad%20nach%C3%A1dza." </w:instrText>
      </w:r>
      <w:r>
        <w:rPr/>
        <w:fldChar w:fldCharType="separate"/>
      </w:r>
      <w:r>
        <w:rPr>
          <w:rStyle w:val="style85"/>
        </w:rPr>
        <w:t>§ 39 ZVO</w:t>
      </w:r>
      <w:r>
        <w:rPr/>
        <w:fldChar w:fldCharType="end"/>
      </w:r>
      <w:r>
        <w:t>.</w:t>
      </w:r>
    </w:p>
    <w:p>
      <w:pPr>
        <w:pStyle w:val="style179"/>
        <w:widowControl w:val="false"/>
        <w:numPr>
          <w:ilvl w:val="1"/>
          <w:numId w:val="10"/>
        </w:numPr>
        <w:autoSpaceDE w:val="false"/>
        <w:autoSpaceDN w:val="false"/>
        <w:spacing w:before="158"/>
        <w:ind w:left="567" w:right="116" w:hanging="567"/>
        <w:jc w:val="both"/>
        <w:rPr/>
      </w:pPr>
      <w:r>
        <w:t xml:space="preserve">Uchádzač, ktorého tvorí skupina dodávateľov, preukazuje splnenie podmienok účasti týkajúcich sa osobného postavenia za každého člena skupiny osobitne. Splnenie podmienky účasti podľa </w:t>
      </w:r>
      <w:r>
        <w:rPr/>
        <w:fldChar w:fldCharType="begin"/>
      </w:r>
      <w:r>
        <w:instrText xml:space="preserve"> HYPERLINK "https://www.slov-lex.sk/pravne-predpisy/SK/ZZ/2015/343/20240331" \l ":~:text=je%20opr%C3%A1vnen%C3%BD%20dod%C3%A1va%C5%A5%20tovar%2C%20uskuto%C4%8D%C5%88ova%C5%A5%20stavebn%C3%A9%20pr%C3%A1ce%20alebo%20poskytova%C5%A5%20slu%C5%BEbu%2C" </w:instrText>
      </w:r>
      <w:r>
        <w:rPr/>
        <w:fldChar w:fldCharType="separate"/>
      </w:r>
      <w:r>
        <w:rPr>
          <w:rStyle w:val="style85"/>
        </w:rPr>
        <w:t>§ 32 ods. 1 písm. e) ZVO</w:t>
      </w:r>
      <w:r>
        <w:rPr/>
        <w:fldChar w:fldCharType="end"/>
      </w:r>
      <w:r>
        <w:t xml:space="preserve"> preukazuje člen skupiny len vo vzťahu k tej časti predmetu zákazky, ktorú má zabezpečiť.</w:t>
      </w:r>
    </w:p>
    <w:p>
      <w:pPr>
        <w:pStyle w:val="style179"/>
        <w:widowControl w:val="false"/>
        <w:numPr>
          <w:ilvl w:val="1"/>
          <w:numId w:val="10"/>
        </w:numPr>
        <w:autoSpaceDE w:val="false"/>
        <w:autoSpaceDN w:val="false"/>
        <w:spacing w:before="158"/>
        <w:ind w:left="567" w:right="116" w:hanging="567"/>
        <w:jc w:val="both"/>
        <w:rPr/>
      </w:pPr>
      <w:r>
        <w:t>V Jednotnom európskom dokumente je uchádzač oprávnený predbežne preukázať splnenie všetkých podmienok účasti zaškrtnutím políčka „α: Globálny údaj pre všetky podmienky účasti“.</w:t>
      </w:r>
    </w:p>
    <w:p>
      <w:pPr>
        <w:pStyle w:val="style179"/>
        <w:widowControl w:val="false"/>
        <w:numPr>
          <w:ilvl w:val="0"/>
          <w:numId w:val="0"/>
        </w:numPr>
        <w:autoSpaceDE w:val="false"/>
        <w:autoSpaceDN w:val="false"/>
        <w:spacing w:before="158"/>
        <w:ind w:left="0" w:right="116" w:firstLine="0"/>
        <w:jc w:val="both"/>
        <w:rPr/>
      </w:pPr>
    </w:p>
    <w:p>
      <w:pPr>
        <w:pStyle w:val="style179"/>
        <w:widowControl w:val="false"/>
        <w:numPr>
          <w:ilvl w:val="0"/>
          <w:numId w:val="0"/>
        </w:numPr>
        <w:autoSpaceDE w:val="false"/>
        <w:autoSpaceDN w:val="false"/>
        <w:spacing w:before="158"/>
        <w:ind w:left="0" w:right="116" w:firstLine="0"/>
        <w:jc w:val="both"/>
        <w:rPr/>
      </w:pPr>
      <w:r w:rsidR="008F0107">
        <w:rPr>
          <w:lang w:val="en-US"/>
        </w:rPr>
        <w:tab/>
        <w:t>Technická spôsobilosť alebo odborná spôsobilosť</w:t>
      </w:r>
    </w:p>
    <w:p>
      <w:pPr>
        <w:pStyle w:val="style179"/>
        <w:widowControl w:val="false"/>
        <w:numPr>
          <w:ilvl w:val="0"/>
          <w:numId w:val="0"/>
        </w:numPr>
        <w:autoSpaceDE w:val="false"/>
        <w:autoSpaceDN w:val="false"/>
        <w:spacing w:before="158"/>
        <w:ind w:left="0" w:right="116" w:firstLine="0"/>
        <w:jc w:val="both"/>
        <w:rPr/>
      </w:pPr>
      <w:r w:rsidR="D58B9943">
        <w:rPr>
          <w:lang w:val="en-US"/>
        </w:rPr>
        <w:t>Podľa § 34 ods. 1 písm. a) zákona č. 343/2015 Z. z. o verejnom obstarávaní je uchádzač povinný predložiť zoznam dodaných tovarov za obdobie posledných troch rokov pred vyhlásením verejného obstarávania. Tento zoznam musí obsahovať informácie o cenách, lehotách dodania a odberateľoch. Ak bol odberateľom verejný obstarávateľ alebo obstarávateľ podľa zákona o verejnom obstarávaní, ako dôkaz sa predkladá referencia.</w:t>
      </w:r>
    </w:p>
    <w:p>
      <w:pPr>
        <w:pStyle w:val="style179"/>
        <w:widowControl w:val="false"/>
        <w:numPr>
          <w:ilvl w:val="0"/>
          <w:numId w:val="0"/>
        </w:numPr>
        <w:autoSpaceDE w:val="false"/>
        <w:autoSpaceDN w:val="false"/>
        <w:spacing w:before="158"/>
        <w:ind w:left="0" w:right="116" w:firstLine="0"/>
        <w:jc w:val="both"/>
        <w:rPr/>
      </w:pPr>
    </w:p>
    <w:p>
      <w:pPr>
        <w:pStyle w:val="style179"/>
        <w:widowControl w:val="false"/>
        <w:numPr>
          <w:ilvl w:val="0"/>
          <w:numId w:val="0"/>
        </w:numPr>
        <w:autoSpaceDE w:val="false"/>
        <w:autoSpaceDN w:val="false"/>
        <w:spacing w:before="158"/>
        <w:ind w:left="0" w:right="116" w:firstLine="0"/>
        <w:jc w:val="both"/>
        <w:rPr/>
      </w:pPr>
      <w:r w:rsidR="27A31872">
        <w:rPr>
          <w:lang w:val="en-US"/>
        </w:rPr>
        <w:t>Minimálna požadovaná úroveň štandardov:</w:t>
      </w:r>
    </w:p>
    <w:p>
      <w:pPr>
        <w:pStyle w:val="style179"/>
        <w:widowControl w:val="false"/>
        <w:numPr>
          <w:ilvl w:val="0"/>
          <w:numId w:val="0"/>
        </w:numPr>
        <w:autoSpaceDE w:val="false"/>
        <w:autoSpaceDN w:val="false"/>
        <w:spacing w:before="158"/>
        <w:ind w:left="0" w:right="116" w:firstLine="0"/>
        <w:jc w:val="both"/>
        <w:rPr/>
      </w:pPr>
      <w:r w:rsidR="08258881">
        <w:rPr>
          <w:lang w:val="en-US"/>
        </w:rPr>
        <w:t xml:space="preserve">Uchádzač predloží zoznam zrealizovaných dodávok, z ktorého bude zrejmé, že v priebehu posledných troch rokov pred vyhlásením verejného obstarávania realizoval dodávky tovarov rovnakého alebo obdobného charakteu ako je predmet zákazky (t. j. </w:t>
      </w:r>
      <w:r w:rsidR="968F8F7E">
        <w:rPr>
          <w:lang w:val="en-US"/>
        </w:rPr>
        <w:t xml:space="preserve">Hygienické </w:t>
      </w:r>
      <w:r w:rsidR="08258881">
        <w:rPr>
          <w:lang w:val="en-US"/>
        </w:rPr>
        <w:t xml:space="preserve">potreby), v kumulatívnej hodnote minimálne </w:t>
      </w:r>
      <w:r w:rsidR="47B2EB78">
        <w:rPr>
          <w:lang w:val="en-US"/>
        </w:rPr>
        <w:t>4</w:t>
      </w:r>
      <w:r w:rsidR="08258881">
        <w:rPr>
          <w:lang w:val="en-US"/>
        </w:rPr>
        <w:t>0 000,00 EUR bez DPH.</w:t>
      </w:r>
    </w:p>
    <w:p>
      <w:pPr>
        <w:pStyle w:val="style179"/>
        <w:widowControl w:val="false"/>
        <w:numPr>
          <w:ilvl w:val="0"/>
          <w:numId w:val="0"/>
        </w:numPr>
        <w:autoSpaceDE w:val="false"/>
        <w:autoSpaceDN w:val="false"/>
        <w:spacing w:before="158"/>
        <w:ind w:left="0" w:right="116" w:firstLine="0"/>
        <w:jc w:val="both"/>
        <w:rPr/>
      </w:pPr>
    </w:p>
    <w:bookmarkStart w:id="19" w:name="_Toc204781413"/>
    <w:p>
      <w:pPr>
        <w:pStyle w:val="style2"/>
        <w:rPr/>
      </w:pPr>
      <w:r>
        <w:t>Kritériá na vyhodnotenie ponúk pri zadávaní čiastkových zákaziek</w:t>
      </w:r>
      <w:bookmarkEnd w:id="19"/>
    </w:p>
    <w:p>
      <w:pPr>
        <w:pStyle w:val="style0"/>
        <w:jc w:val="both"/>
        <w:rPr/>
      </w:pPr>
      <w:r>
        <w:t>Kritérium na vyhodnotenie ponúk je: Najnižšia cena s DPH za celý predmet zákazky/Najlepší pomer ceny a kvality (napríklad dodacie podmienky – lehota dodania, lepšie vlastnosti ponúkaného tovaru ako sú požadované verejným obstarávateľom v súťažných podkladoch, environmentálne alebo sociálne hľadiská). Konkrétne kritérium na vyhodnotenie ponúk s podrobnou úpravou a spôsobom jeho vyhodnotenia bude presne špecifikované v konkrétnej čiastkovej výzve na predkladanie ponúk.</w:t>
      </w:r>
    </w:p>
    <w:p>
      <w:pPr>
        <w:pStyle w:val="style0"/>
        <w:autoSpaceDE w:val="false"/>
        <w:autoSpaceDN w:val="false"/>
        <w:adjustRightInd w:val="false"/>
        <w:jc w:val="both"/>
        <w:rPr>
          <w:rFonts w:eastAsia="TimesNewRomanPSMT"/>
          <w:color w:val="000000"/>
        </w:rPr>
      </w:pPr>
    </w:p>
    <w:sectPr>
      <w:headerReference w:type="default" r:id="rId3"/>
      <w:footerReference w:type="default" r:id="rId4"/>
      <w:headerReference w:type="first" r:id="rId5"/>
      <w:pgSz w:w="11906" w:h="16838" w:orient="portrait"/>
      <w:pgMar w:top="1191" w:right="1191" w:bottom="1191" w:left="119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ee"/>
    <w:family w:val="swiss"/>
    <w:pitch w:val="variable"/>
    <w:sig w:usb0="E4002EFF" w:usb1="C200247B" w:usb2="00000009" w:usb3="00000000" w:csb0="000001FF" w:csb1="00000000"/>
  </w:font>
  <w:font w:name="Times New Roman">
    <w:altName w:val="Times New Roman"/>
    <w:panose1 w:val="02020603050000020304"/>
    <w:charset w:val="ee"/>
    <w:family w:val="roman"/>
    <w:pitch w:val="variable"/>
    <w:sig w:usb0="E0002EFF" w:usb1="C000785B" w:usb2="00000009" w:usb3="00000000" w:csb0="000001FF" w:csb1="00000000"/>
  </w:font>
  <w:font w:name="Courier New">
    <w:altName w:val="Courier New"/>
    <w:panose1 w:val="02070309020000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Arial Narrow">
    <w:altName w:val="Arial Narrow"/>
    <w:panose1 w:val="020b0606020000030204"/>
    <w:charset w:val="ee"/>
    <w:family w:val="swiss"/>
    <w:pitch w:val="variable"/>
    <w:sig w:usb0="00000287" w:usb1="00000800" w:usb2="00000000" w:usb3="00000000" w:csb0="0000009F" w:csb1="00000000"/>
  </w:font>
  <w:font w:name="Calibri Light">
    <w:altName w:val="Calibri Light"/>
    <w:panose1 w:val="020f0302020000030204"/>
    <w:charset w:val="ee"/>
    <w:family w:val="swiss"/>
    <w:pitch w:val="variable"/>
    <w:sig w:usb0="E4002EFF" w:usb1="C200247B" w:usb2="00000009" w:usb3="00000000" w:csb0="000001FF" w:csb1="00000000"/>
  </w:font>
  <w:font w:name="Arial">
    <w:altName w:val="Arial"/>
    <w:panose1 w:val="020b0604020000020204"/>
    <w:charset w:val="ee"/>
    <w:family w:val="swiss"/>
    <w:pitch w:val="variable"/>
    <w:sig w:usb0="E0002EFF" w:usb1="C000785B" w:usb2="00000009" w:usb3="00000000" w:csb0="000001FF" w:csb1="00000000"/>
  </w:font>
  <w:font w:name="Arial Unicode MS">
    <w:altName w:val="Arial Unicode MS"/>
    <w:panose1 w:val="020b0604020000020204"/>
    <w:charset w:val="80"/>
    <w:family w:val="swiss"/>
    <w:pitch w:val="variable"/>
    <w:sig w:usb0="F7FFAFFF" w:usb1="E9DFFFFF" w:usb2="0000003F" w:usb3="00000000" w:csb0="003F01FF" w:csb1="00000000"/>
  </w:font>
  <w:font w:name="Tahoma">
    <w:altName w:val="Tahoma"/>
    <w:panose1 w:val="020b0604030000040204"/>
    <w:charset w:val="ee"/>
    <w:family w:val="swiss"/>
    <w:pitch w:val="variable"/>
    <w:sig w:usb0="E1002EFF" w:usb1="C000605B" w:usb2="00000029" w:usb3="00000000" w:csb0="000101FF" w:csb1="00000000"/>
  </w:font>
  <w:font w:name="Bookman Old Style">
    <w:altName w:val="Bookman Old Style"/>
    <w:panose1 w:val="02050604050000020204"/>
    <w:charset w:val="ee"/>
    <w:family w:val="roman"/>
    <w:pitch w:val="variable"/>
    <w:sig w:usb0="00000287" w:usb1="00000000" w:usb2="00000000" w:usb3="00000000" w:csb0="0000009F" w:csb1="00000000"/>
  </w:font>
  <w:font w:name="SimSun">
    <w:altName w:val="宋体"/>
    <w:panose1 w:val="02010600030000010101"/>
    <w:charset w:val="86"/>
    <w:family w:val="auto"/>
    <w:pitch w:val="variable"/>
    <w:sig w:usb0="00000001" w:usb1="080E0000" w:usb2="00000010" w:usb3="00000000" w:csb0="00040000" w:csb1="00000000"/>
  </w:font>
  <w:font w:name="Cambria">
    <w:altName w:val="Cambria"/>
    <w:panose1 w:val="02040503050000030204"/>
    <w:charset w:val="ee"/>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0"/>
        <w:shd w:val="clear" w:color="auto" w:fill="ffffff"/>
        <w:jc w:val="both"/>
        <w:rPr>
          <w:sz w:val="20"/>
          <w:szCs w:val="20"/>
        </w:rPr>
      </w:pPr>
      <w:r>
        <w:rPr>
          <w:rStyle w:val="style38"/>
        </w:rPr>
        <w:footnoteRef/>
      </w:r>
      <w:r>
        <w:rPr>
          <w:sz w:val="20"/>
          <w:szCs w:val="20"/>
        </w:rPr>
        <w:t xml:space="preserve"> Žiadosť o výpis z registra trestov musí obsahovať </w:t>
      </w:r>
      <w:r>
        <w:rPr>
          <w:b/>
          <w:bCs/>
          <w:sz w:val="20"/>
          <w:szCs w:val="20"/>
        </w:rPr>
        <w:t>ak ide o fyzickú osobu</w:t>
      </w:r>
      <w:r>
        <w:rPr>
          <w:sz w:val="20"/>
          <w:szCs w:val="20"/>
        </w:rPr>
        <w:t xml:space="preserve">: 1. meno, priezvisko, rodné priezvisko, pôvodné meno alebo priezvisko, ak došlo k zmene mena alebo zmene priezviska, prípadne prezývku osoby, ktorej sa žiadosť týka, 2. dátum narodenia, rodné číslo, miesto a okres narodenia, adresu trvalého pobytu a u osoby narodenej v cudzine aj štát narodenia, 3. štátne občianstvo, 4. pohlavie, 5. meno, priezvisko a rodné priezvisko rodičov. Ide o údaje podľa § 10 ods. 4 zákona č. 330/2007 Z. z. o registri trestov a o zmene a doplnení niektorých zákonov, dostupné na odkaze: </w:t>
      </w:r>
      <w:r>
        <w:rPr/>
        <w:fldChar w:fldCharType="begin"/>
      </w:r>
      <w:r>
        <w:instrText xml:space="preserve"> HYPERLINK "https://www.slov-lex.sk/pravne-predpisy/SK/ZZ/2007/330/" \l "paragraf-10.odsek-4" </w:instrText>
      </w:r>
      <w:r>
        <w:rPr/>
        <w:fldChar w:fldCharType="separate"/>
      </w:r>
      <w:r>
        <w:rPr>
          <w:rStyle w:val="style85"/>
          <w:sz w:val="20"/>
          <w:szCs w:val="20"/>
        </w:rPr>
        <w:t>https://www.slov-lex.sk/pravne-predpisy/SK/ZZ/2007/330/#paragraf-10.odsek-4</w:t>
      </w:r>
      <w:r>
        <w:rPr/>
        <w:fldChar w:fldCharType="end"/>
      </w:r>
      <w:r>
        <w:rPr>
          <w:sz w:val="20"/>
          <w:szCs w:val="20"/>
        </w:rPr>
        <w:t>.</w:t>
      </w:r>
    </w:p>
    <w:p>
      <w:pPr>
        <w:pStyle w:val="style29"/>
        <w:rPr/>
      </w:pP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8156"/>
    </w:tblGrid>
    <w:tr>
      <w:trPr/>
      <w:tc>
        <w:tcPr>
          <w:tcW w:w="1358" w:type="dxa"/>
          <w:vMerge w:val="restart"/>
          <w:tcBorders/>
        </w:tcPr>
        <w:p>
          <w:pPr>
            <w:pStyle w:val="style31"/>
            <w:tabs>
              <w:tab w:val="clear" w:pos="4536"/>
              <w:tab w:val="clear" w:pos="9072"/>
            </w:tabs>
            <w:ind w:right="-144"/>
            <w:rPr>
              <w:sz w:val="22"/>
            </w:rPr>
          </w:pPr>
          <w:bookmarkStart w:id="20" w:name="_Hlk68613026"/>
          <w:bookmarkStart w:id="21" w:name="_Hlk68613027"/>
          <w:r>
            <w:rPr>
              <w:b/>
              <w:bCs/>
              <w:noProof/>
              <w:sz w:val="22"/>
            </w:rPr>
            <w:drawing>
              <wp:inline distL="0" distT="0" distB="0" distR="0">
                <wp:extent cx="766729" cy="768350"/>
                <wp:effectExtent l="0" t="0" r="0" b="0"/>
                <wp:docPr id="4097" name="Obrázok 3" descr="Obrázok, na ktorom je grafika, pestrofarebnosť, snímka obrazovky, kruh&#10;&#10;Obsah vygenerovaný pomocou AI môže byť nesprávn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Obrázok 3"/>
                        <pic:cNvPicPr/>
                      </pic:nvPicPr>
                      <pic:blipFill>
                        <a:blip r:embed="rId1" cstate="print"/>
                        <a:srcRect l="0" t="0" r="0" b="0"/>
                        <a:stretch/>
                      </pic:blipFill>
                      <pic:spPr>
                        <a:xfrm rot="0">
                          <a:off x="0" y="0"/>
                          <a:ext cx="766729" cy="768350"/>
                        </a:xfrm>
                        <a:prstGeom prst="rect"/>
                      </pic:spPr>
                    </pic:pic>
                  </a:graphicData>
                </a:graphic>
              </wp:inline>
            </w:drawing>
          </w:r>
        </w:p>
      </w:tc>
      <w:tc>
        <w:tcPr>
          <w:tcW w:w="8156" w:type="dxa"/>
          <w:tcBorders/>
        </w:tcPr>
        <w:p>
          <w:pPr>
            <w:pStyle w:val="style31"/>
            <w:tabs>
              <w:tab w:val="clear" w:pos="4536"/>
              <w:tab w:val="clear" w:pos="9072"/>
            </w:tabs>
            <w:jc w:val="right"/>
            <w:rPr>
              <w:bCs/>
              <w:sz w:val="20"/>
              <w:szCs w:val="20"/>
            </w:rPr>
          </w:pPr>
          <w:r>
            <w:rPr>
              <w:b/>
              <w:sz w:val="20"/>
              <w:szCs w:val="20"/>
            </w:rPr>
            <w:t>Dynamický nákupný systém</w:t>
          </w:r>
        </w:p>
      </w:tc>
    </w:tr>
    <w:tr>
      <w:tblPrEx/>
      <w:trPr/>
      <w:tc>
        <w:tcPr>
          <w:tcW w:w="1358" w:type="dxa"/>
          <w:vMerge w:val="continue"/>
          <w:tcBorders/>
        </w:tcPr>
        <w:p>
          <w:pPr>
            <w:pStyle w:val="style31"/>
            <w:tabs>
              <w:tab w:val="clear" w:pos="4536"/>
              <w:tab w:val="clear" w:pos="9072"/>
            </w:tabs>
            <w:ind w:right="-144"/>
            <w:rPr>
              <w:sz w:val="22"/>
            </w:rPr>
          </w:pPr>
        </w:p>
      </w:tc>
      <w:tc>
        <w:tcPr>
          <w:tcW w:w="8156" w:type="dxa"/>
          <w:tcBorders/>
        </w:tcPr>
        <w:p>
          <w:pPr>
            <w:pStyle w:val="style0"/>
            <w:jc w:val="right"/>
            <w:rPr>
              <w:bCs/>
              <w:sz w:val="20"/>
              <w:szCs w:val="20"/>
            </w:rPr>
          </w:pPr>
          <w:r>
            <w:rPr>
              <w:bCs/>
              <w:sz w:val="20"/>
              <w:szCs w:val="20"/>
            </w:rPr>
            <w:t>Zabezpečenie centrálneho nákupu hygienických potrieb pre Hlavné mesto SR Bratislava a ďalšie subjekty</w:t>
          </w:r>
        </w:p>
        <w:p>
          <w:pPr>
            <w:pStyle w:val="style31"/>
            <w:tabs>
              <w:tab w:val="clear" w:pos="4536"/>
              <w:tab w:val="clear" w:pos="9072"/>
            </w:tabs>
            <w:jc w:val="right"/>
            <w:rPr>
              <w:sz w:val="20"/>
              <w:szCs w:val="20"/>
            </w:rPr>
          </w:pPr>
        </w:p>
      </w:tc>
    </w:tr>
    <w:bookmarkEnd w:id="20"/>
    <w:bookmarkEnd w:id="21"/>
  </w:tbl>
  <w:p>
    <w:pPr>
      <w:pStyle w:val="style0"/>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both"/>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ideographDigital"/>
      <w:lvlText w:val=""/>
      <w:lvlJc w:val="left"/>
      <w:pPr/>
    </w:lvl>
    <w:lvl w:ilvl="1">
      <w:start w:val="1"/>
      <w:numFmt w:val="decimal"/>
      <w:lvlText w:val="%1"/>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
    <w:nsid w:val="00000001"/>
    <w:multiLevelType w:val="multilevel"/>
    <w:tmpl w:val="00000002"/>
    <w:name w:val="WW8Num2"/>
    <w:lvl w:ilvl="0">
      <w:start w:val="3"/>
      <w:numFmt w:val="bullet"/>
      <w:lvlText w:val="-"/>
      <w:lvlJc w:val="left"/>
      <w:pPr>
        <w:tabs>
          <w:tab w:val="left" w:leader="none" w:pos="0"/>
        </w:tabs>
        <w:ind w:left="2137" w:hanging="360"/>
      </w:pPr>
      <w:rPr>
        <w:rFonts w:ascii="Calibri" w:cs="Calibri" w:hAnsi="Calibri"/>
        <w:b/>
        <w:bCs/>
      </w:rPr>
    </w:lvl>
    <w:lvl w:ilvl="1">
      <w:start w:val="1"/>
      <w:numFmt w:val="bullet"/>
      <w:lvlText w:val="o"/>
      <w:lvlJc w:val="left"/>
      <w:pPr>
        <w:tabs>
          <w:tab w:val="left" w:leader="none" w:pos="0"/>
        </w:tabs>
        <w:ind w:left="2857" w:hanging="360"/>
      </w:pPr>
      <w:rPr>
        <w:rFonts w:ascii="Courier New" w:cs="Courier New" w:hAnsi="Courier New"/>
      </w:rPr>
    </w:lvl>
    <w:lvl w:ilvl="2">
      <w:start w:val="1"/>
      <w:numFmt w:val="bullet"/>
      <w:lvlText w:val=""/>
      <w:lvlJc w:val="left"/>
      <w:pPr>
        <w:tabs>
          <w:tab w:val="left" w:leader="none" w:pos="0"/>
        </w:tabs>
        <w:ind w:left="3577" w:hanging="360"/>
      </w:pPr>
      <w:rPr>
        <w:rFonts w:ascii="Wingdings" w:cs="Wingdings" w:hAnsi="Wingdings"/>
      </w:rPr>
    </w:lvl>
    <w:lvl w:ilvl="3">
      <w:start w:val="1"/>
      <w:numFmt w:val="bullet"/>
      <w:lvlText w:val=""/>
      <w:lvlJc w:val="left"/>
      <w:pPr>
        <w:tabs>
          <w:tab w:val="left" w:leader="none" w:pos="0"/>
        </w:tabs>
        <w:ind w:left="4297" w:hanging="360"/>
      </w:pPr>
      <w:rPr>
        <w:rFonts w:ascii="Symbol" w:cs="Symbol" w:hAnsi="Symbol"/>
      </w:rPr>
    </w:lvl>
    <w:lvl w:ilvl="4">
      <w:start w:val="1"/>
      <w:numFmt w:val="bullet"/>
      <w:lvlText w:val="o"/>
      <w:lvlJc w:val="left"/>
      <w:pPr>
        <w:tabs>
          <w:tab w:val="left" w:leader="none" w:pos="0"/>
        </w:tabs>
        <w:ind w:left="5017" w:hanging="360"/>
      </w:pPr>
      <w:rPr>
        <w:rFonts w:ascii="Courier New" w:cs="Courier New" w:hAnsi="Courier New"/>
      </w:rPr>
    </w:lvl>
    <w:lvl w:ilvl="5">
      <w:start w:val="1"/>
      <w:numFmt w:val="bullet"/>
      <w:lvlText w:val=""/>
      <w:lvlJc w:val="left"/>
      <w:pPr>
        <w:tabs>
          <w:tab w:val="left" w:leader="none" w:pos="0"/>
        </w:tabs>
        <w:ind w:left="5737" w:hanging="360"/>
      </w:pPr>
      <w:rPr>
        <w:rFonts w:ascii="Wingdings" w:cs="Wingdings" w:hAnsi="Wingdings"/>
      </w:rPr>
    </w:lvl>
    <w:lvl w:ilvl="6">
      <w:start w:val="1"/>
      <w:numFmt w:val="bullet"/>
      <w:lvlText w:val=""/>
      <w:lvlJc w:val="left"/>
      <w:pPr>
        <w:tabs>
          <w:tab w:val="left" w:leader="none" w:pos="0"/>
        </w:tabs>
        <w:ind w:left="6457" w:hanging="360"/>
      </w:pPr>
      <w:rPr>
        <w:rFonts w:ascii="Symbol" w:cs="Symbol" w:hAnsi="Symbol"/>
      </w:rPr>
    </w:lvl>
    <w:lvl w:ilvl="7">
      <w:start w:val="1"/>
      <w:numFmt w:val="bullet"/>
      <w:lvlText w:val="o"/>
      <w:lvlJc w:val="left"/>
      <w:pPr>
        <w:tabs>
          <w:tab w:val="left" w:leader="none" w:pos="0"/>
        </w:tabs>
        <w:ind w:left="7177" w:hanging="360"/>
      </w:pPr>
      <w:rPr>
        <w:rFonts w:ascii="Courier New" w:cs="Courier New" w:hAnsi="Courier New"/>
      </w:rPr>
    </w:lvl>
    <w:lvl w:ilvl="8">
      <w:start w:val="1"/>
      <w:numFmt w:val="bullet"/>
      <w:lvlText w:val=""/>
      <w:lvlJc w:val="left"/>
      <w:pPr>
        <w:tabs>
          <w:tab w:val="left" w:leader="none" w:pos="0"/>
        </w:tabs>
        <w:ind w:left="7897" w:hanging="360"/>
      </w:pPr>
      <w:rPr>
        <w:rFonts w:ascii="Wingdings" w:cs="Wingdings" w:hAnsi="Wingdings"/>
      </w:rPr>
    </w:lvl>
  </w:abstractNum>
  <w:abstractNum w:abstractNumId="2">
    <w:nsid w:val="00000002"/>
    <w:multiLevelType w:val="multilevel"/>
    <w:tmpl w:val="00000003"/>
    <w:name w:val="WW8Num3"/>
    <w:lvl w:ilvl="0">
      <w:start w:val="3"/>
      <w:numFmt w:val="bullet"/>
      <w:lvlText w:val="-"/>
      <w:lvlJc w:val="left"/>
      <w:pPr>
        <w:tabs>
          <w:tab w:val="left" w:leader="none" w:pos="0"/>
        </w:tabs>
        <w:ind w:left="2137" w:hanging="360"/>
      </w:pPr>
      <w:rPr>
        <w:rFonts w:ascii="Calibri" w:cs="Calibri" w:hAnsi="Calibri"/>
        <w:b/>
        <w:bCs/>
      </w:rPr>
    </w:lvl>
    <w:lvl w:ilvl="1">
      <w:start w:val="1"/>
      <w:numFmt w:val="bullet"/>
      <w:lvlText w:val="o"/>
      <w:lvlJc w:val="left"/>
      <w:pPr>
        <w:tabs>
          <w:tab w:val="left" w:leader="none" w:pos="0"/>
        </w:tabs>
        <w:ind w:left="2857" w:hanging="360"/>
      </w:pPr>
      <w:rPr>
        <w:rFonts w:ascii="Courier New" w:cs="Courier New" w:hAnsi="Courier New"/>
      </w:rPr>
    </w:lvl>
    <w:lvl w:ilvl="2">
      <w:start w:val="1"/>
      <w:numFmt w:val="bullet"/>
      <w:lvlText w:val=""/>
      <w:lvlJc w:val="left"/>
      <w:pPr>
        <w:tabs>
          <w:tab w:val="left" w:leader="none" w:pos="0"/>
        </w:tabs>
        <w:ind w:left="3577" w:hanging="360"/>
      </w:pPr>
      <w:rPr>
        <w:rFonts w:ascii="Wingdings" w:cs="Wingdings" w:hAnsi="Wingdings"/>
      </w:rPr>
    </w:lvl>
    <w:lvl w:ilvl="3">
      <w:start w:val="1"/>
      <w:numFmt w:val="bullet"/>
      <w:lvlText w:val=""/>
      <w:lvlJc w:val="left"/>
      <w:pPr>
        <w:tabs>
          <w:tab w:val="left" w:leader="none" w:pos="0"/>
        </w:tabs>
        <w:ind w:left="4297" w:hanging="360"/>
      </w:pPr>
      <w:rPr>
        <w:rFonts w:ascii="Symbol" w:cs="Symbol" w:hAnsi="Symbol"/>
      </w:rPr>
    </w:lvl>
    <w:lvl w:ilvl="4">
      <w:start w:val="1"/>
      <w:numFmt w:val="bullet"/>
      <w:lvlText w:val="o"/>
      <w:lvlJc w:val="left"/>
      <w:pPr>
        <w:tabs>
          <w:tab w:val="left" w:leader="none" w:pos="0"/>
        </w:tabs>
        <w:ind w:left="5017" w:hanging="360"/>
      </w:pPr>
      <w:rPr>
        <w:rFonts w:ascii="Courier New" w:cs="Courier New" w:hAnsi="Courier New"/>
      </w:rPr>
    </w:lvl>
    <w:lvl w:ilvl="5">
      <w:start w:val="1"/>
      <w:numFmt w:val="bullet"/>
      <w:lvlText w:val=""/>
      <w:lvlJc w:val="left"/>
      <w:pPr>
        <w:tabs>
          <w:tab w:val="left" w:leader="none" w:pos="0"/>
        </w:tabs>
        <w:ind w:left="5737" w:hanging="360"/>
      </w:pPr>
      <w:rPr>
        <w:rFonts w:ascii="Wingdings" w:cs="Wingdings" w:hAnsi="Wingdings"/>
      </w:rPr>
    </w:lvl>
    <w:lvl w:ilvl="6">
      <w:start w:val="1"/>
      <w:numFmt w:val="bullet"/>
      <w:lvlText w:val=""/>
      <w:lvlJc w:val="left"/>
      <w:pPr>
        <w:tabs>
          <w:tab w:val="left" w:leader="none" w:pos="0"/>
        </w:tabs>
        <w:ind w:left="6457" w:hanging="360"/>
      </w:pPr>
      <w:rPr>
        <w:rFonts w:ascii="Symbol" w:cs="Symbol" w:hAnsi="Symbol"/>
      </w:rPr>
    </w:lvl>
    <w:lvl w:ilvl="7">
      <w:start w:val="1"/>
      <w:numFmt w:val="bullet"/>
      <w:lvlText w:val="o"/>
      <w:lvlJc w:val="left"/>
      <w:pPr>
        <w:tabs>
          <w:tab w:val="left" w:leader="none" w:pos="0"/>
        </w:tabs>
        <w:ind w:left="7177" w:hanging="360"/>
      </w:pPr>
      <w:rPr>
        <w:rFonts w:ascii="Courier New" w:cs="Courier New" w:hAnsi="Courier New"/>
      </w:rPr>
    </w:lvl>
    <w:lvl w:ilvl="8">
      <w:start w:val="1"/>
      <w:numFmt w:val="bullet"/>
      <w:lvlText w:val=""/>
      <w:lvlJc w:val="left"/>
      <w:pPr>
        <w:tabs>
          <w:tab w:val="left" w:leader="none" w:pos="0"/>
        </w:tabs>
        <w:ind w:left="7897" w:hanging="360"/>
      </w:pPr>
      <w:rPr>
        <w:rFonts w:ascii="Wingdings" w:cs="Wingdings" w:hAnsi="Wingdings"/>
      </w:rPr>
    </w:lvl>
  </w:abstractNum>
  <w:abstractNum w:abstractNumId="3">
    <w:nsid w:val="00000003"/>
    <w:multiLevelType w:val="hybridMultilevel"/>
    <w:tmpl w:val="4B149E38"/>
    <w:lvl w:ilvl="0" w:tplc="12E2BB92">
      <w:start w:val="1"/>
      <w:numFmt w:val="bullet"/>
      <w:lvlText w:val="-"/>
      <w:lvlJc w:val="left"/>
      <w:pPr>
        <w:ind w:left="786" w:hanging="360"/>
      </w:pPr>
      <w:rPr>
        <w:rFonts w:ascii="Times New Roman" w:cs="Times New Roman" w:eastAsia="Times New Roman" w:hAnsi="Times New Roman" w:hint="default"/>
      </w:rPr>
    </w:lvl>
    <w:lvl w:ilvl="1" w:tplc="041B0003" w:tentative="1">
      <w:start w:val="1"/>
      <w:numFmt w:val="bullet"/>
      <w:lvlText w:val="o"/>
      <w:lvlJc w:val="left"/>
      <w:pPr>
        <w:ind w:left="1506" w:hanging="360"/>
      </w:pPr>
      <w:rPr>
        <w:rFonts w:ascii="Courier New" w:cs="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cs="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cs="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nsid w:val="00000004"/>
    <w:multiLevelType w:val="multilevel"/>
    <w:tmpl w:val="028E7FC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00000005"/>
    <w:multiLevelType w:val="hybridMultilevel"/>
    <w:tmpl w:val="B0F07D56"/>
    <w:lvl w:ilvl="0" w:tplc="041B0017">
      <w:start w:val="1"/>
      <w:numFmt w:val="lowerLetter"/>
      <w:lvlText w:val="%1)"/>
      <w:lvlJc w:val="left"/>
      <w:pPr>
        <w:ind w:left="786" w:hanging="360"/>
      </w:pPr>
      <w:rPr>
        <w:rFonts w:hint="default"/>
      </w:rPr>
    </w:lvl>
    <w:lvl w:ilvl="1" w:tplc="0BCCDCB8" w:tentative="1">
      <w:start w:val="1"/>
      <w:numFmt w:val="bullet"/>
      <w:lvlText w:val="o"/>
      <w:lvlJc w:val="left"/>
      <w:pPr>
        <w:ind w:left="1506" w:hanging="360"/>
      </w:pPr>
      <w:rPr>
        <w:rFonts w:ascii="Courier New" w:cs="Courier New" w:hAnsi="Courier New" w:hint="default"/>
      </w:rPr>
    </w:lvl>
    <w:lvl w:ilvl="2" w:tplc="0ACA61E2" w:tentative="1">
      <w:start w:val="1"/>
      <w:numFmt w:val="bullet"/>
      <w:lvlText w:val=""/>
      <w:lvlJc w:val="left"/>
      <w:pPr>
        <w:ind w:left="2226" w:hanging="360"/>
      </w:pPr>
      <w:rPr>
        <w:rFonts w:ascii="Wingdings" w:hAnsi="Wingdings" w:hint="default"/>
      </w:rPr>
    </w:lvl>
    <w:lvl w:ilvl="3" w:tplc="917CA478" w:tentative="1">
      <w:start w:val="1"/>
      <w:numFmt w:val="bullet"/>
      <w:lvlText w:val=""/>
      <w:lvlJc w:val="left"/>
      <w:pPr>
        <w:ind w:left="2946" w:hanging="360"/>
      </w:pPr>
      <w:rPr>
        <w:rFonts w:ascii="Symbol" w:hAnsi="Symbol" w:hint="default"/>
      </w:rPr>
    </w:lvl>
    <w:lvl w:ilvl="4" w:tplc="25B05DE0" w:tentative="1">
      <w:start w:val="1"/>
      <w:numFmt w:val="bullet"/>
      <w:lvlText w:val="o"/>
      <w:lvlJc w:val="left"/>
      <w:pPr>
        <w:ind w:left="3666" w:hanging="360"/>
      </w:pPr>
      <w:rPr>
        <w:rFonts w:ascii="Courier New" w:cs="Courier New" w:hAnsi="Courier New" w:hint="default"/>
      </w:rPr>
    </w:lvl>
    <w:lvl w:ilvl="5" w:tplc="EED4C1D8" w:tentative="1">
      <w:start w:val="1"/>
      <w:numFmt w:val="bullet"/>
      <w:lvlText w:val=""/>
      <w:lvlJc w:val="left"/>
      <w:pPr>
        <w:ind w:left="4386" w:hanging="360"/>
      </w:pPr>
      <w:rPr>
        <w:rFonts w:ascii="Wingdings" w:hAnsi="Wingdings" w:hint="default"/>
      </w:rPr>
    </w:lvl>
    <w:lvl w:ilvl="6" w:tplc="2A80EE2E" w:tentative="1">
      <w:start w:val="1"/>
      <w:numFmt w:val="bullet"/>
      <w:lvlText w:val=""/>
      <w:lvlJc w:val="left"/>
      <w:pPr>
        <w:ind w:left="5106" w:hanging="360"/>
      </w:pPr>
      <w:rPr>
        <w:rFonts w:ascii="Symbol" w:hAnsi="Symbol" w:hint="default"/>
      </w:rPr>
    </w:lvl>
    <w:lvl w:ilvl="7" w:tplc="0958BAF8" w:tentative="1">
      <w:start w:val="1"/>
      <w:numFmt w:val="bullet"/>
      <w:lvlText w:val="o"/>
      <w:lvlJc w:val="left"/>
      <w:pPr>
        <w:ind w:left="5826" w:hanging="360"/>
      </w:pPr>
      <w:rPr>
        <w:rFonts w:ascii="Courier New" w:cs="Courier New" w:hAnsi="Courier New" w:hint="default"/>
      </w:rPr>
    </w:lvl>
    <w:lvl w:ilvl="8" w:tplc="6CEACC1E" w:tentative="1">
      <w:start w:val="1"/>
      <w:numFmt w:val="bullet"/>
      <w:lvlText w:val=""/>
      <w:lvlJc w:val="left"/>
      <w:pPr>
        <w:ind w:left="6546" w:hanging="360"/>
      </w:pPr>
      <w:rPr>
        <w:rFonts w:ascii="Wingdings" w:hAnsi="Wingdings" w:hint="default"/>
      </w:rPr>
    </w:lvl>
  </w:abstractNum>
  <w:abstractNum w:abstractNumId="6">
    <w:nsid w:val="00000006"/>
    <w:multiLevelType w:val="hybridMultilevel"/>
    <w:tmpl w:val="5364B9B2"/>
    <w:lvl w:ilvl="0" w:tplc="F85813B4">
      <w:start w:val="1030"/>
      <w:numFmt w:val="bullet"/>
      <w:lvlText w:val="-"/>
      <w:lvlJc w:val="left"/>
      <w:pPr>
        <w:ind w:left="720" w:hanging="360"/>
      </w:pPr>
      <w:rPr>
        <w:rFonts w:ascii="Times New Roman" w:cs="Times New Roman" w:eastAsia="Times New Roman" w:hAnsi="Times New Roman" w:hint="default"/>
      </w:rPr>
    </w:lvl>
    <w:lvl w:ilvl="1" w:tplc="041B0003" w:tentative="1">
      <w:start w:val="1"/>
      <w:numFmt w:val="bullet"/>
      <w:lvlText w:val="o"/>
      <w:lvlJc w:val="left"/>
      <w:pPr>
        <w:ind w:left="1440" w:hanging="360"/>
      </w:pPr>
      <w:rPr>
        <w:rFonts w:ascii="Courier New" w:cs="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cs="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cs="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7CCE5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00000008"/>
    <w:multiLevelType w:val="multilevel"/>
    <w:tmpl w:val="6BB8DD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0000009"/>
    <w:multiLevelType w:val="hybridMultilevel"/>
    <w:tmpl w:val="A4224614"/>
    <w:lvl w:ilvl="0" w:tplc="041B0005">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cs="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cs="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cs="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nsid w:val="0000000A"/>
    <w:multiLevelType w:val="hybridMultilevel"/>
    <w:tmpl w:val="86224118"/>
    <w:lvl w:ilvl="0" w:tplc="041B0017">
      <w:start w:val="1"/>
      <w:numFmt w:val="lowerLetter"/>
      <w:lvlText w:val="%1)"/>
      <w:lvlJc w:val="left"/>
      <w:pPr>
        <w:ind w:left="786" w:hanging="360"/>
      </w:pPr>
      <w:rPr>
        <w:rFonts w:hint="default"/>
      </w:rPr>
    </w:lvl>
    <w:lvl w:ilvl="1" w:tplc="0C80EC28" w:tentative="1">
      <w:start w:val="1"/>
      <w:numFmt w:val="bullet"/>
      <w:lvlText w:val="o"/>
      <w:lvlJc w:val="left"/>
      <w:pPr>
        <w:ind w:left="1506" w:hanging="360"/>
      </w:pPr>
      <w:rPr>
        <w:rFonts w:ascii="Courier New" w:cs="Courier New" w:hAnsi="Courier New" w:hint="default"/>
      </w:rPr>
    </w:lvl>
    <w:lvl w:ilvl="2" w:tplc="522607DA" w:tentative="1">
      <w:start w:val="1"/>
      <w:numFmt w:val="bullet"/>
      <w:lvlText w:val=""/>
      <w:lvlJc w:val="left"/>
      <w:pPr>
        <w:ind w:left="2226" w:hanging="360"/>
      </w:pPr>
      <w:rPr>
        <w:rFonts w:ascii="Wingdings" w:hAnsi="Wingdings" w:hint="default"/>
      </w:rPr>
    </w:lvl>
    <w:lvl w:ilvl="3" w:tplc="709C7422" w:tentative="1">
      <w:start w:val="1"/>
      <w:numFmt w:val="bullet"/>
      <w:lvlText w:val=""/>
      <w:lvlJc w:val="left"/>
      <w:pPr>
        <w:ind w:left="2946" w:hanging="360"/>
      </w:pPr>
      <w:rPr>
        <w:rFonts w:ascii="Symbol" w:hAnsi="Symbol" w:hint="default"/>
      </w:rPr>
    </w:lvl>
    <w:lvl w:ilvl="4" w:tplc="CFE4D798" w:tentative="1">
      <w:start w:val="1"/>
      <w:numFmt w:val="bullet"/>
      <w:lvlText w:val="o"/>
      <w:lvlJc w:val="left"/>
      <w:pPr>
        <w:ind w:left="3666" w:hanging="360"/>
      </w:pPr>
      <w:rPr>
        <w:rFonts w:ascii="Courier New" w:cs="Courier New" w:hAnsi="Courier New" w:hint="default"/>
      </w:rPr>
    </w:lvl>
    <w:lvl w:ilvl="5" w:tplc="7CF2BFD6" w:tentative="1">
      <w:start w:val="1"/>
      <w:numFmt w:val="bullet"/>
      <w:lvlText w:val=""/>
      <w:lvlJc w:val="left"/>
      <w:pPr>
        <w:ind w:left="4386" w:hanging="360"/>
      </w:pPr>
      <w:rPr>
        <w:rFonts w:ascii="Wingdings" w:hAnsi="Wingdings" w:hint="default"/>
      </w:rPr>
    </w:lvl>
    <w:lvl w:ilvl="6" w:tplc="13C0EF3E" w:tentative="1">
      <w:start w:val="1"/>
      <w:numFmt w:val="bullet"/>
      <w:lvlText w:val=""/>
      <w:lvlJc w:val="left"/>
      <w:pPr>
        <w:ind w:left="5106" w:hanging="360"/>
      </w:pPr>
      <w:rPr>
        <w:rFonts w:ascii="Symbol" w:hAnsi="Symbol" w:hint="default"/>
      </w:rPr>
    </w:lvl>
    <w:lvl w:ilvl="7" w:tplc="B6E2B4B8" w:tentative="1">
      <w:start w:val="1"/>
      <w:numFmt w:val="bullet"/>
      <w:lvlText w:val="o"/>
      <w:lvlJc w:val="left"/>
      <w:pPr>
        <w:ind w:left="5826" w:hanging="360"/>
      </w:pPr>
      <w:rPr>
        <w:rFonts w:ascii="Courier New" w:cs="Courier New" w:hAnsi="Courier New" w:hint="default"/>
      </w:rPr>
    </w:lvl>
    <w:lvl w:ilvl="8" w:tplc="8F3C9422" w:tentative="1">
      <w:start w:val="1"/>
      <w:numFmt w:val="bullet"/>
      <w:lvlText w:val=""/>
      <w:lvlJc w:val="left"/>
      <w:pPr>
        <w:ind w:left="6546" w:hanging="360"/>
      </w:pPr>
      <w:rPr>
        <w:rFonts w:ascii="Wingdings" w:hAnsi="Wingdings" w:hint="default"/>
      </w:rPr>
    </w:lvl>
  </w:abstractNum>
  <w:abstractNum w:abstractNumId="11">
    <w:nsid w:val="0000000B"/>
    <w:multiLevelType w:val="hybridMultilevel"/>
    <w:tmpl w:val="FFFFFFFF"/>
    <w:lvl w:ilvl="0" w:tplc="5DCCC1B2">
      <w:start w:val="1"/>
      <w:numFmt w:val="decimal"/>
      <w:lvlText w:val=""/>
      <w:lvlJc w:val="left"/>
      <w:pPr/>
    </w:lvl>
    <w:lvl w:ilvl="1" w:tplc="80303030">
      <w:start w:val="1"/>
      <w:numFmt w:val="decimal"/>
      <w:lvlText w:val=""/>
      <w:lvlJc w:val="left"/>
      <w:pPr/>
    </w:lvl>
    <w:lvl w:ilvl="2" w:tplc="F97CA550">
      <w:start w:val="1"/>
      <w:numFmt w:val="decimal"/>
      <w:lvlText w:val=""/>
      <w:lvlJc w:val="left"/>
      <w:pPr/>
    </w:lvl>
    <w:lvl w:ilvl="3" w:tplc="71D46460">
      <w:start w:val="1"/>
      <w:numFmt w:val="decimal"/>
      <w:lvlText w:val=""/>
      <w:lvlJc w:val="left"/>
      <w:pPr/>
    </w:lvl>
    <w:lvl w:ilvl="4" w:tplc="46940712">
      <w:start w:val="1"/>
      <w:numFmt w:val="decimal"/>
      <w:lvlText w:val=""/>
      <w:lvlJc w:val="left"/>
      <w:pPr/>
    </w:lvl>
    <w:lvl w:ilvl="5" w:tplc="9822CAA2">
      <w:start w:val="1"/>
      <w:numFmt w:val="decimal"/>
      <w:lvlText w:val=""/>
      <w:lvlJc w:val="left"/>
      <w:pPr/>
    </w:lvl>
    <w:lvl w:ilvl="6" w:tplc="3B64D314">
      <w:start w:val="1"/>
      <w:numFmt w:val="decimal"/>
      <w:lvlText w:val=""/>
      <w:lvlJc w:val="left"/>
      <w:pPr/>
    </w:lvl>
    <w:lvl w:ilvl="7" w:tplc="50ECEA12">
      <w:start w:val="1"/>
      <w:numFmt w:val="decimal"/>
      <w:lvlText w:val=""/>
      <w:lvlJc w:val="left"/>
      <w:pPr/>
    </w:lvl>
    <w:lvl w:ilvl="8" w:tplc="69E4A6B6">
      <w:start w:val="1"/>
      <w:numFmt w:val="decimal"/>
      <w:lvlText w:val=""/>
      <w:lvlJc w:val="left"/>
      <w:pPr/>
    </w:lvl>
  </w:abstractNum>
  <w:abstractNum w:abstractNumId="12">
    <w:nsid w:val="0000000C"/>
    <w:multiLevelType w:val="multilevel"/>
    <w:tmpl w:val="F7C87F6E"/>
    <w:lvl w:ilvl="0">
      <w:start w:val="2"/>
      <w:numFmt w:val="decimal"/>
      <w:lvlText w:val="%1"/>
      <w:lvlJc w:val="left"/>
      <w:pPr>
        <w:ind w:left="896" w:hanging="360"/>
      </w:pPr>
      <w:rPr>
        <w:rFonts w:hint="default"/>
        <w:lang w:val="sk-SK" w:bidi="ar-SA" w:eastAsia="en-US"/>
      </w:rPr>
    </w:lvl>
    <w:lvl w:ilvl="1">
      <w:start w:val="1"/>
      <w:numFmt w:val="decimal"/>
      <w:lvlText w:val="%1.%2"/>
      <w:lvlJc w:val="left"/>
      <w:pPr>
        <w:ind w:left="896" w:hanging="360"/>
      </w:pPr>
      <w:rPr>
        <w:rFonts w:ascii="Times New Roman" w:cs="Times New Roman" w:eastAsia="Times New Roman" w:hAnsi="Times New Roman" w:hint="default"/>
        <w:b w:val="false"/>
        <w:bCs w:val="false"/>
        <w:w w:val="100"/>
        <w:sz w:val="24"/>
        <w:szCs w:val="24"/>
        <w:lang w:val="sk-SK" w:bidi="ar-SA" w:eastAsia="en-US"/>
      </w:rPr>
    </w:lvl>
    <w:lvl w:ilvl="2">
      <w:start w:val="1"/>
      <w:numFmt w:val="bullet"/>
      <w:lvlText w:val="•"/>
      <w:lvlJc w:val="left"/>
      <w:pPr>
        <w:ind w:left="2665" w:hanging="360"/>
      </w:pPr>
      <w:rPr>
        <w:rFonts w:hint="default"/>
        <w:lang w:val="sk-SK" w:bidi="ar-SA" w:eastAsia="en-US"/>
      </w:rPr>
    </w:lvl>
    <w:lvl w:ilvl="3">
      <w:start w:val="1"/>
      <w:numFmt w:val="bullet"/>
      <w:lvlText w:val="•"/>
      <w:lvlJc w:val="left"/>
      <w:pPr>
        <w:ind w:left="3547" w:hanging="360"/>
      </w:pPr>
      <w:rPr>
        <w:rFonts w:hint="default"/>
        <w:lang w:val="sk-SK" w:bidi="ar-SA" w:eastAsia="en-US"/>
      </w:rPr>
    </w:lvl>
    <w:lvl w:ilvl="4">
      <w:start w:val="1"/>
      <w:numFmt w:val="bullet"/>
      <w:lvlText w:val="•"/>
      <w:lvlJc w:val="left"/>
      <w:pPr>
        <w:ind w:left="4430" w:hanging="360"/>
      </w:pPr>
      <w:rPr>
        <w:rFonts w:hint="default"/>
        <w:lang w:val="sk-SK" w:bidi="ar-SA" w:eastAsia="en-US"/>
      </w:rPr>
    </w:lvl>
    <w:lvl w:ilvl="5">
      <w:start w:val="1"/>
      <w:numFmt w:val="bullet"/>
      <w:lvlText w:val="•"/>
      <w:lvlJc w:val="left"/>
      <w:pPr>
        <w:ind w:left="5313" w:hanging="360"/>
      </w:pPr>
      <w:rPr>
        <w:rFonts w:hint="default"/>
        <w:lang w:val="sk-SK" w:bidi="ar-SA" w:eastAsia="en-US"/>
      </w:rPr>
    </w:lvl>
    <w:lvl w:ilvl="6">
      <w:start w:val="1"/>
      <w:numFmt w:val="bullet"/>
      <w:lvlText w:val="•"/>
      <w:lvlJc w:val="left"/>
      <w:pPr>
        <w:ind w:left="6195" w:hanging="360"/>
      </w:pPr>
      <w:rPr>
        <w:rFonts w:hint="default"/>
        <w:lang w:val="sk-SK" w:bidi="ar-SA" w:eastAsia="en-US"/>
      </w:rPr>
    </w:lvl>
    <w:lvl w:ilvl="7">
      <w:start w:val="1"/>
      <w:numFmt w:val="bullet"/>
      <w:lvlText w:val="•"/>
      <w:lvlJc w:val="left"/>
      <w:pPr>
        <w:ind w:left="7078" w:hanging="360"/>
      </w:pPr>
      <w:rPr>
        <w:rFonts w:hint="default"/>
        <w:lang w:val="sk-SK" w:bidi="ar-SA" w:eastAsia="en-US"/>
      </w:rPr>
    </w:lvl>
    <w:lvl w:ilvl="8">
      <w:start w:val="1"/>
      <w:numFmt w:val="bullet"/>
      <w:lvlText w:val="•"/>
      <w:lvlJc w:val="left"/>
      <w:pPr>
        <w:ind w:left="7961" w:hanging="360"/>
      </w:pPr>
      <w:rPr>
        <w:rFonts w:hint="default"/>
        <w:lang w:val="sk-SK" w:bidi="ar-SA" w:eastAsia="en-US"/>
      </w:rPr>
    </w:lvl>
  </w:abstractNum>
  <w:abstractNum w:abstractNumId="13">
    <w:nsid w:val="0000000D"/>
    <w:multiLevelType w:val="hybridMultilevel"/>
    <w:tmpl w:val="90360908"/>
    <w:lvl w:ilvl="0" w:tplc="B1F6C016">
      <w:start w:val="3"/>
      <w:numFmt w:val="bullet"/>
      <w:lvlText w:val="-"/>
      <w:lvlJc w:val="left"/>
      <w:pPr>
        <w:ind w:left="927" w:hanging="360"/>
      </w:pPr>
      <w:rPr>
        <w:rFonts w:ascii="Times New Roman" w:cs="Times New Roman" w:eastAsia="Times New Roman" w:hAnsi="Times New Roman" w:hint="default"/>
        <w:b/>
      </w:rPr>
    </w:lvl>
    <w:lvl w:ilvl="1" w:tplc="041B0003" w:tentative="1">
      <w:start w:val="1"/>
      <w:numFmt w:val="bullet"/>
      <w:lvlText w:val="o"/>
      <w:lvlJc w:val="left"/>
      <w:pPr>
        <w:ind w:left="1647" w:hanging="360"/>
      </w:pPr>
      <w:rPr>
        <w:rFonts w:ascii="Courier New" w:cs="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cs="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cs="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4">
    <w:nsid w:val="0000000E"/>
    <w:multiLevelType w:val="multilevel"/>
    <w:tmpl w:val="23E670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0F"/>
    <w:multiLevelType w:val="multilevel"/>
    <w:tmpl w:val="349EFB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0"/>
    <w:multiLevelType w:val="multilevel"/>
    <w:tmpl w:val="20F6DC7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00000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00000012"/>
    <w:multiLevelType w:val="multilevel"/>
    <w:tmpl w:val="290C0A3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0000013"/>
    <w:multiLevelType w:val="hybridMultilevel"/>
    <w:tmpl w:val="CEE00DC6"/>
    <w:lvl w:ilvl="0" w:tplc="1B947FFC">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cs="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cs="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cs="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nsid w:val="00000014"/>
    <w:multiLevelType w:val="hybridMultilevel"/>
    <w:tmpl w:val="3C6C64B8"/>
    <w:lvl w:ilvl="0" w:tplc="1B947FFC">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cs="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cs="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cs="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nsid w:val="00000015"/>
    <w:multiLevelType w:val="hybridMultilevel"/>
    <w:tmpl w:val="CA92CDDA"/>
    <w:lvl w:ilvl="0" w:tplc="041B0005">
      <w:start w:val="1"/>
      <w:numFmt w:val="bullet"/>
      <w:lvlText w:val=""/>
      <w:lvlJc w:val="left"/>
      <w:pPr>
        <w:ind w:left="2007" w:hanging="360"/>
      </w:pPr>
      <w:rPr>
        <w:rFonts w:ascii="Wingdings" w:hAnsi="Wingdings" w:hint="default"/>
      </w:rPr>
    </w:lvl>
    <w:lvl w:ilvl="1" w:tplc="041B0003" w:tentative="1">
      <w:start w:val="1"/>
      <w:numFmt w:val="bullet"/>
      <w:lvlText w:val="o"/>
      <w:lvlJc w:val="left"/>
      <w:pPr>
        <w:ind w:left="2727" w:hanging="360"/>
      </w:pPr>
      <w:rPr>
        <w:rFonts w:ascii="Courier New" w:cs="Courier New" w:hAnsi="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cs="Courier New" w:hAnsi="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cs="Courier New" w:hAnsi="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22">
    <w:nsid w:val="00000016"/>
    <w:multiLevelType w:val="multilevel"/>
    <w:tmpl w:val="2CA41B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0000017"/>
    <w:multiLevelType w:val="multilevel"/>
    <w:tmpl w:val="02EA4B1E"/>
    <w:lvl w:ilvl="0">
      <w:start w:val="7"/>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4">
    <w:nsid w:val="00000018"/>
    <w:multiLevelType w:val="hybridMultilevel"/>
    <w:tmpl w:val="34782684"/>
    <w:lvl w:ilvl="0" w:tplc="041B0005">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cs="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cs="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cs="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nsid w:val="00000019"/>
    <w:multiLevelType w:val="hybridMultilevel"/>
    <w:tmpl w:val="8D64AC24"/>
    <w:lvl w:ilvl="0" w:tplc="FD24FA66">
      <w:start w:val="1"/>
      <w:numFmt w:val="bullet"/>
      <w:lvlText w:val="□"/>
      <w:lvlJc w:val="left"/>
      <w:pPr>
        <w:ind w:left="1287" w:hanging="360"/>
      </w:pPr>
      <w:rPr>
        <w:rFonts w:ascii="Arial Narrow" w:hAnsi="Arial Narrow" w:hint="default"/>
      </w:rPr>
    </w:lvl>
    <w:lvl w:ilvl="1" w:tplc="041B0003" w:tentative="1">
      <w:start w:val="1"/>
      <w:numFmt w:val="bullet"/>
      <w:lvlText w:val="o"/>
      <w:lvlJc w:val="left"/>
      <w:pPr>
        <w:ind w:left="1440" w:hanging="360"/>
      </w:pPr>
      <w:rPr>
        <w:rFonts w:ascii="Courier New" w:cs="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cs="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cs="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0000001A"/>
    <w:multiLevelType w:val="multilevel"/>
    <w:tmpl w:val="03F64EC8"/>
    <w:lvl w:ilvl="0">
      <w:start w:val="1"/>
      <w:numFmt w:val="decimal"/>
      <w:pStyle w:val="style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0000001B"/>
    <w:multiLevelType w:val="hybridMultilevel"/>
    <w:tmpl w:val="3B385FD8"/>
    <w:lvl w:ilvl="0" w:tplc="1B947FFC">
      <w:start w:val="1"/>
      <w:numFmt w:val="bullet"/>
      <w:lvlText w:val=""/>
      <w:lvlJc w:val="left"/>
      <w:pPr>
        <w:ind w:left="1287" w:hanging="360"/>
      </w:pPr>
      <w:rPr>
        <w:rFonts w:ascii="Symbol" w:hAnsi="Symbol" w:hint="default"/>
      </w:rPr>
    </w:lvl>
    <w:lvl w:ilvl="1" w:tplc="1048F25C" w:tentative="1">
      <w:start w:val="1"/>
      <w:numFmt w:val="bullet"/>
      <w:lvlText w:val="o"/>
      <w:lvlJc w:val="left"/>
      <w:pPr>
        <w:ind w:left="2007" w:hanging="360"/>
      </w:pPr>
      <w:rPr>
        <w:rFonts w:ascii="Courier New" w:cs="Courier New" w:hAnsi="Courier New" w:hint="default"/>
      </w:rPr>
    </w:lvl>
    <w:lvl w:ilvl="2" w:tplc="43CC6160" w:tentative="1">
      <w:start w:val="1"/>
      <w:numFmt w:val="bullet"/>
      <w:lvlText w:val=""/>
      <w:lvlJc w:val="left"/>
      <w:pPr>
        <w:ind w:left="2727" w:hanging="360"/>
      </w:pPr>
      <w:rPr>
        <w:rFonts w:ascii="Wingdings" w:hAnsi="Wingdings" w:hint="default"/>
      </w:rPr>
    </w:lvl>
    <w:lvl w:ilvl="3" w:tplc="2C2CDAEC" w:tentative="1">
      <w:start w:val="1"/>
      <w:numFmt w:val="bullet"/>
      <w:lvlText w:val=""/>
      <w:lvlJc w:val="left"/>
      <w:pPr>
        <w:ind w:left="3447" w:hanging="360"/>
      </w:pPr>
      <w:rPr>
        <w:rFonts w:ascii="Symbol" w:hAnsi="Symbol" w:hint="default"/>
      </w:rPr>
    </w:lvl>
    <w:lvl w:ilvl="4" w:tplc="0EEE05CE" w:tentative="1">
      <w:start w:val="1"/>
      <w:numFmt w:val="bullet"/>
      <w:lvlText w:val="o"/>
      <w:lvlJc w:val="left"/>
      <w:pPr>
        <w:ind w:left="4167" w:hanging="360"/>
      </w:pPr>
      <w:rPr>
        <w:rFonts w:ascii="Courier New" w:cs="Courier New" w:hAnsi="Courier New" w:hint="default"/>
      </w:rPr>
    </w:lvl>
    <w:lvl w:ilvl="5" w:tplc="F7CA99C8" w:tentative="1">
      <w:start w:val="1"/>
      <w:numFmt w:val="bullet"/>
      <w:lvlText w:val=""/>
      <w:lvlJc w:val="left"/>
      <w:pPr>
        <w:ind w:left="4887" w:hanging="360"/>
      </w:pPr>
      <w:rPr>
        <w:rFonts w:ascii="Wingdings" w:hAnsi="Wingdings" w:hint="default"/>
      </w:rPr>
    </w:lvl>
    <w:lvl w:ilvl="6" w:tplc="F22645A4" w:tentative="1">
      <w:start w:val="1"/>
      <w:numFmt w:val="bullet"/>
      <w:lvlText w:val=""/>
      <w:lvlJc w:val="left"/>
      <w:pPr>
        <w:ind w:left="5607" w:hanging="360"/>
      </w:pPr>
      <w:rPr>
        <w:rFonts w:ascii="Symbol" w:hAnsi="Symbol" w:hint="default"/>
      </w:rPr>
    </w:lvl>
    <w:lvl w:ilvl="7" w:tplc="04CECDAE" w:tentative="1">
      <w:start w:val="1"/>
      <w:numFmt w:val="bullet"/>
      <w:lvlText w:val="o"/>
      <w:lvlJc w:val="left"/>
      <w:pPr>
        <w:ind w:left="6327" w:hanging="360"/>
      </w:pPr>
      <w:rPr>
        <w:rFonts w:ascii="Courier New" w:cs="Courier New" w:hAnsi="Courier New" w:hint="default"/>
      </w:rPr>
    </w:lvl>
    <w:lvl w:ilvl="8" w:tplc="355C6FDA" w:tentative="1">
      <w:start w:val="1"/>
      <w:numFmt w:val="bullet"/>
      <w:lvlText w:val=""/>
      <w:lvlJc w:val="left"/>
      <w:pPr>
        <w:ind w:left="7047" w:hanging="360"/>
      </w:pPr>
      <w:rPr>
        <w:rFonts w:ascii="Wingdings" w:hAnsi="Wingdings" w:hint="default"/>
      </w:rPr>
    </w:lvl>
  </w:abstractNum>
  <w:num w:numId="1">
    <w:abstractNumId w:val="26"/>
  </w:num>
  <w:num w:numId="2">
    <w:abstractNumId w:val="12"/>
  </w:num>
  <w:num w:numId="3">
    <w:abstractNumId w:val="16"/>
  </w:num>
  <w:num w:numId="4">
    <w:abstractNumId w:val="4"/>
  </w:num>
  <w:num w:numId="5">
    <w:abstractNumId w:val="22"/>
  </w:num>
  <w:num w:numId="6">
    <w:abstractNumId w:val="8"/>
  </w:num>
  <w:num w:numId="7">
    <w:abstractNumId w:val="14"/>
  </w:num>
  <w:num w:numId="8">
    <w:abstractNumId w:val="23"/>
  </w:num>
  <w:num w:numId="9">
    <w:abstractNumId w:val="15"/>
  </w:num>
  <w:num w:numId="10">
    <w:abstractNumId w:val="18"/>
  </w:num>
  <w:num w:numId="11">
    <w:abstractNumId w:val="25"/>
  </w:num>
  <w:num w:numId="12">
    <w:abstractNumId w:val="9"/>
  </w:num>
  <w:num w:numId="13">
    <w:abstractNumId w:val="24"/>
  </w:num>
  <w:num w:numId="14">
    <w:abstractNumId w:val="27"/>
  </w:num>
  <w:num w:numId="15">
    <w:abstractNumId w:val="21"/>
  </w:num>
  <w:num w:numId="16">
    <w:abstractNumId w:val="20"/>
  </w:num>
  <w:num w:numId="17">
    <w:abstractNumId w:val="13"/>
  </w:num>
  <w:num w:numId="18">
    <w:abstractNumId w:val="19"/>
  </w:num>
  <w:num w:numId="19">
    <w:abstractNumId w:val="6"/>
  </w:num>
  <w:num w:numId="20">
    <w:abstractNumId w:val="17"/>
  </w:num>
  <w:num w:numId="21">
    <w:abstractNumId w:val="0"/>
  </w:num>
  <w:num w:numId="22">
    <w:abstractNumId w:val="11"/>
  </w:num>
  <w:num w:numId="23">
    <w:abstractNumId w:val="3"/>
  </w:num>
  <w:num w:numId="24">
    <w:abstractNumId w:val="7"/>
  </w:num>
  <w:num w:numId="25">
    <w:abstractNumId w:val="10"/>
  </w:num>
  <w:num w:numId="26">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trackRevisions/>
  <w:defaultTabStop w:val="709"/>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sk-SK" w:bidi="ar-SA" w:eastAsia="sk-SK"/>
      </w:rPr>
    </w:rPrDefault>
    <w:pPrDefault>
      <w:pPr/>
    </w:pPrDefault>
  </w:docDefaults>
  <w:style w:type="paragraph" w:default="1" w:styleId="style0">
    <w:name w:val="Normal"/>
    <w:next w:val="style0"/>
    <w:qFormat/>
    <w:pPr/>
    <w:rPr>
      <w:sz w:val="24"/>
      <w:szCs w:val="22"/>
    </w:rPr>
  </w:style>
  <w:style w:type="paragraph" w:styleId="style1">
    <w:name w:val="heading 1"/>
    <w:basedOn w:val="style0"/>
    <w:next w:val="style0"/>
    <w:link w:val="style4125"/>
    <w:qFormat/>
    <w:uiPriority w:val="9"/>
    <w:pPr>
      <w:keepNext/>
      <w:jc w:val="center"/>
      <w:outlineLvl w:val="0"/>
    </w:pPr>
    <w:rPr>
      <w:b/>
      <w:bCs/>
      <w:sz w:val="28"/>
    </w:rPr>
  </w:style>
  <w:style w:type="paragraph" w:styleId="style2">
    <w:name w:val="heading 2"/>
    <w:basedOn w:val="style0"/>
    <w:next w:val="style0"/>
    <w:link w:val="style4114"/>
    <w:qFormat/>
    <w:uiPriority w:val="9"/>
    <w:pPr>
      <w:keepNext/>
      <w:keepLines/>
      <w:numPr>
        <w:ilvl w:val="0"/>
        <w:numId w:val="1"/>
      </w:numPr>
      <w:spacing w:before="160" w:after="160"/>
      <w:ind w:left="426" w:hanging="426"/>
      <w:jc w:val="both"/>
      <w:outlineLvl w:val="1"/>
    </w:pPr>
    <w:rPr>
      <w:rFonts w:ascii="Calibri Light" w:hAnsi="Calibri Light"/>
      <w:bCs/>
      <w:color w:val="0000cc"/>
      <w:sz w:val="32"/>
    </w:rPr>
  </w:style>
  <w:style w:type="paragraph" w:styleId="style3">
    <w:name w:val="heading 3"/>
    <w:basedOn w:val="style0"/>
    <w:next w:val="style0"/>
    <w:qFormat/>
    <w:uiPriority w:val="9"/>
    <w:pPr>
      <w:keepNext/>
      <w:spacing w:before="240" w:after="60"/>
      <w:outlineLvl w:val="2"/>
    </w:pPr>
    <w:rPr>
      <w:rFonts w:ascii="Arial" w:cs="Arial" w:hAnsi="Arial"/>
      <w:b/>
      <w:bCs/>
      <w:sz w:val="26"/>
      <w:szCs w:val="26"/>
      <w:lang w:eastAsia="cs-CZ"/>
    </w:rPr>
  </w:style>
  <w:style w:type="paragraph" w:styleId="style5">
    <w:name w:val="heading 5"/>
    <w:basedOn w:val="style0"/>
    <w:next w:val="style0"/>
    <w:qFormat/>
    <w:uiPriority w:val="9"/>
    <w:pPr>
      <w:keepNext/>
      <w:jc w:val="center"/>
      <w:outlineLvl w:val="4"/>
    </w:pPr>
    <w:rPr>
      <w:b/>
      <w:bCs/>
      <w:sz w:val="28"/>
      <w:szCs w:val="28"/>
    </w:rPr>
  </w:style>
  <w:style w:type="paragraph" w:styleId="style6">
    <w:name w:val="heading 6"/>
    <w:basedOn w:val="style0"/>
    <w:next w:val="style0"/>
    <w:qFormat/>
    <w:uiPriority w:val="9"/>
    <w:pPr>
      <w:keepNext/>
      <w:jc w:val="both"/>
      <w:outlineLvl w:val="5"/>
    </w:pPr>
    <w:rPr>
      <w:b/>
      <w:bCs/>
    </w:rPr>
  </w:style>
  <w:style w:type="paragraph" w:styleId="style7">
    <w:name w:val="heading 7"/>
    <w:basedOn w:val="style0"/>
    <w:next w:val="style0"/>
    <w:link w:val="style4115"/>
    <w:qFormat/>
    <w:pPr>
      <w:keepNext/>
      <w:spacing w:lineRule="auto" w:line="360"/>
      <w:jc w:val="both"/>
      <w:outlineLvl w:val="6"/>
    </w:pPr>
    <w:rPr>
      <w:b/>
      <w:bCs/>
      <w:u w:val="single"/>
    </w:rPr>
  </w:style>
  <w:style w:type="paragraph" w:styleId="style8">
    <w:name w:val="heading 8"/>
    <w:basedOn w:val="style0"/>
    <w:next w:val="style0"/>
    <w:qFormat/>
    <w:pPr>
      <w:keepNext/>
      <w:ind w:firstLine="708"/>
      <w:jc w:val="both"/>
      <w:outlineLvl w:val="7"/>
    </w:pPr>
    <w:rPr>
      <w:u w:val="single"/>
    </w:rPr>
  </w:style>
  <w:style w:type="paragraph" w:styleId="style9">
    <w:name w:val="heading 9"/>
    <w:basedOn w:val="style0"/>
    <w:next w:val="style0"/>
    <w:qFormat/>
    <w:pPr>
      <w:keepNext/>
      <w:outlineLvl w:val="8"/>
    </w:pPr>
    <w:rPr>
      <w:b/>
      <w:bCs/>
      <w:u w:val="singl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103">
    <w:name w:val="HTML Typewriter"/>
    <w:next w:val="style103"/>
    <w:rPr>
      <w:rFonts w:ascii="Courier New" w:cs="Courier New" w:eastAsia="Times New Roman" w:hAnsi="Courier New" w:hint="default"/>
      <w:sz w:val="20"/>
      <w:szCs w:val="20"/>
    </w:rPr>
  </w:style>
  <w:style w:type="paragraph" w:styleId="style31">
    <w:name w:val="header"/>
    <w:basedOn w:val="style0"/>
    <w:next w:val="style31"/>
    <w:link w:val="style4124"/>
    <w:uiPriority w:val="99"/>
    <w:pPr>
      <w:tabs>
        <w:tab w:val="center" w:leader="none" w:pos="4536"/>
        <w:tab w:val="right" w:leader="none" w:pos="9072"/>
      </w:tabs>
    </w:pPr>
    <w:rPr/>
  </w:style>
  <w:style w:type="paragraph" w:styleId="style66">
    <w:name w:val="Body Text"/>
    <w:basedOn w:val="style0"/>
    <w:next w:val="style66"/>
    <w:link w:val="style4098"/>
    <w:pPr>
      <w:jc w:val="both"/>
    </w:pPr>
    <w:rPr>
      <w:b/>
      <w:bCs/>
    </w:rPr>
  </w:style>
  <w:style w:type="paragraph" w:styleId="style67">
    <w:name w:val="Body Text Indent"/>
    <w:basedOn w:val="style0"/>
    <w:next w:val="style67"/>
    <w:link w:val="style4099"/>
    <w:uiPriority w:val="99"/>
    <w:pPr>
      <w:jc w:val="both"/>
    </w:pPr>
    <w:rPr/>
  </w:style>
  <w:style w:type="paragraph" w:styleId="style81">
    <w:name w:val="Body Text 3"/>
    <w:basedOn w:val="style0"/>
    <w:next w:val="style81"/>
    <w:link w:val="style4106"/>
    <w:pPr>
      <w:jc w:val="center"/>
    </w:pPr>
    <w:rPr>
      <w:color w:val="ff0000"/>
      <w:sz w:val="20"/>
      <w:szCs w:val="20"/>
    </w:rPr>
  </w:style>
  <w:style w:type="paragraph" w:styleId="style82">
    <w:name w:val="Body Text Indent 2"/>
    <w:basedOn w:val="style0"/>
    <w:next w:val="style82"/>
    <w:link w:val="style4100"/>
    <w:pPr>
      <w:ind w:left="360"/>
      <w:jc w:val="both"/>
    </w:pPr>
    <w:rPr/>
  </w:style>
  <w:style w:type="paragraph" w:styleId="style83">
    <w:name w:val="Body Text Indent 3"/>
    <w:basedOn w:val="style0"/>
    <w:next w:val="style83"/>
    <w:link w:val="style4109"/>
    <w:pPr>
      <w:ind w:left="708"/>
      <w:jc w:val="both"/>
    </w:pPr>
    <w:rPr/>
  </w:style>
  <w:style w:type="paragraph" w:styleId="style32">
    <w:name w:val="footer"/>
    <w:basedOn w:val="style0"/>
    <w:next w:val="style32"/>
    <w:link w:val="style4118"/>
    <w:uiPriority w:val="99"/>
    <w:pPr>
      <w:tabs>
        <w:tab w:val="center" w:leader="none" w:pos="4536"/>
        <w:tab w:val="right" w:leader="none" w:pos="9072"/>
      </w:tabs>
    </w:pPr>
    <w:rPr/>
  </w:style>
  <w:style w:type="character" w:styleId="style41">
    <w:name w:val="page number"/>
    <w:basedOn w:val="style65"/>
    <w:next w:val="style41"/>
  </w:style>
  <w:style w:type="paragraph" w:customStyle="1" w:styleId="style4097">
    <w:name w:val="Štýl1"/>
    <w:basedOn w:val="style0"/>
    <w:next w:val="style7"/>
    <w:uiPriority w:val="99"/>
    <w:pPr/>
    <w:rPr>
      <w:sz w:val="28"/>
      <w:szCs w:val="28"/>
    </w:rPr>
  </w:style>
  <w:style w:type="paragraph" w:styleId="style84">
    <w:name w:val="Block Text"/>
    <w:basedOn w:val="style0"/>
    <w:next w:val="style84"/>
    <w:pPr>
      <w:widowControl w:val="false"/>
      <w:tabs>
        <w:tab w:val="left" w:leader="none" w:pos="2304"/>
        <w:tab w:val="left" w:leader="none" w:pos="3456"/>
        <w:tab w:val="left" w:leader="none" w:pos="4608"/>
        <w:tab w:val="left" w:leader="none" w:pos="5760"/>
        <w:tab w:val="left" w:leader="none" w:pos="6912"/>
        <w:tab w:val="left" w:leader="none" w:pos="8064"/>
      </w:tabs>
      <w:autoSpaceDE w:val="false"/>
      <w:autoSpaceDN w:val="false"/>
      <w:ind w:left="709" w:right="144" w:hanging="567"/>
      <w:jc w:val="both"/>
    </w:pPr>
    <w:rPr>
      <w:rFonts w:ascii="Arial" w:cs="Arial" w:hAnsi="Arial"/>
      <w:sz w:val="20"/>
      <w:szCs w:val="20"/>
      <w:lang w:val="en-US"/>
    </w:rPr>
  </w:style>
  <w:style w:type="character" w:styleId="style85">
    <w:name w:val="Hyperlink"/>
    <w:next w:val="style85"/>
    <w:uiPriority w:val="99"/>
    <w:rPr>
      <w:color w:val="0000ff"/>
      <w:u w:val="single"/>
    </w:rPr>
  </w:style>
  <w:style w:type="paragraph" w:styleId="style90">
    <w:name w:val="Plain Text"/>
    <w:basedOn w:val="style0"/>
    <w:next w:val="style90"/>
    <w:pPr/>
    <w:rPr>
      <w:rFonts w:ascii="Courier New" w:hAnsi="Courier New"/>
      <w:sz w:val="20"/>
      <w:szCs w:val="20"/>
      <w:lang w:val="cs-CZ" w:eastAsia="cs-CZ"/>
    </w:rPr>
  </w:style>
  <w:style w:type="paragraph" w:styleId="style179">
    <w:name w:val="List Paragraph"/>
    <w:basedOn w:val="style0"/>
    <w:next w:val="style179"/>
    <w:link w:val="style4133"/>
    <w:qFormat/>
    <w:uiPriority w:val="1"/>
    <w:pPr>
      <w:ind w:left="708"/>
    </w:pPr>
    <w:rPr/>
  </w:style>
  <w:style w:type="paragraph" w:styleId="style94">
    <w:name w:val="Normal (Web)"/>
    <w:basedOn w:val="style0"/>
    <w:next w:val="style94"/>
    <w:pPr>
      <w:spacing w:before="100" w:beforeAutospacing="true" w:after="100" w:afterAutospacing="true"/>
    </w:pPr>
    <w:rPr>
      <w:rFonts w:ascii="Arial Unicode MS" w:eastAsia="Arial Unicode MS" w:hAnsi="Arial Unicode MS"/>
      <w:color w:val="000000"/>
    </w:rPr>
  </w:style>
  <w:style w:type="character" w:customStyle="1" w:styleId="style4098">
    <w:name w:val="Základný text Char"/>
    <w:next w:val="style4098"/>
    <w:link w:val="style66"/>
    <w:rPr>
      <w:b/>
      <w:bCs/>
      <w:sz w:val="24"/>
      <w:szCs w:val="24"/>
    </w:rPr>
  </w:style>
  <w:style w:type="character" w:customStyle="1" w:styleId="style4099">
    <w:name w:val="Zarážka základného textu Char"/>
    <w:next w:val="style4099"/>
    <w:link w:val="style67"/>
    <w:uiPriority w:val="99"/>
    <w:rPr>
      <w:sz w:val="24"/>
      <w:szCs w:val="24"/>
    </w:rPr>
  </w:style>
  <w:style w:type="character" w:customStyle="1" w:styleId="style4100">
    <w:name w:val="Zarážka základného textu 2 Char"/>
    <w:next w:val="style4100"/>
    <w:link w:val="style82"/>
    <w:rPr>
      <w:sz w:val="24"/>
      <w:szCs w:val="24"/>
    </w:rPr>
  </w:style>
  <w:style w:type="character" w:customStyle="1" w:styleId="style4101">
    <w:name w:val="apple-style-span"/>
    <w:next w:val="style4101"/>
  </w:style>
  <w:style w:type="character" w:customStyle="1" w:styleId="style4102">
    <w:name w:val="apple-converted-space"/>
    <w:next w:val="style4102"/>
  </w:style>
  <w:style w:type="character" w:customStyle="1" w:styleId="style4103">
    <w:name w:val="Silný"/>
    <w:next w:val="style4103"/>
    <w:qFormat/>
    <w:rPr>
      <w:b/>
      <w:bCs/>
    </w:rPr>
  </w:style>
  <w:style w:type="paragraph" w:styleId="style153">
    <w:name w:val="Balloon Text"/>
    <w:basedOn w:val="style0"/>
    <w:next w:val="style153"/>
    <w:link w:val="style4104"/>
    <w:uiPriority w:val="99"/>
    <w:pPr/>
    <w:rPr>
      <w:rFonts w:ascii="Tahoma" w:hAnsi="Tahoma"/>
      <w:sz w:val="16"/>
      <w:szCs w:val="16"/>
    </w:rPr>
  </w:style>
  <w:style w:type="character" w:customStyle="1" w:styleId="style4104">
    <w:name w:val="Text bubliny Char"/>
    <w:next w:val="style4104"/>
    <w:link w:val="style153"/>
    <w:uiPriority w:val="99"/>
    <w:rPr>
      <w:rFonts w:ascii="Tahoma" w:cs="Tahoma" w:hAnsi="Tahoma"/>
      <w:sz w:val="16"/>
      <w:szCs w:val="16"/>
    </w:rPr>
  </w:style>
  <w:style w:type="paragraph" w:styleId="style30">
    <w:name w:val="annotation text"/>
    <w:basedOn w:val="style0"/>
    <w:next w:val="style30"/>
    <w:link w:val="style4105"/>
    <w:uiPriority w:val="99"/>
    <w:pPr>
      <w:spacing w:after="200" w:lineRule="auto" w:line="276"/>
    </w:pPr>
    <w:rPr>
      <w:rFonts w:ascii="Calibri" w:eastAsia="Calibri" w:hAnsi="Calibri"/>
      <w:sz w:val="20"/>
      <w:szCs w:val="20"/>
      <w:lang w:eastAsia="en-US"/>
    </w:rPr>
  </w:style>
  <w:style w:type="character" w:customStyle="1" w:styleId="style4105">
    <w:name w:val="Text komentára Char"/>
    <w:next w:val="style4105"/>
    <w:link w:val="style30"/>
    <w:uiPriority w:val="99"/>
    <w:rPr>
      <w:rFonts w:ascii="Calibri" w:eastAsia="Calibri" w:hAnsi="Calibri"/>
      <w:lang w:eastAsia="en-US"/>
    </w:rPr>
  </w:style>
  <w:style w:type="character" w:styleId="style39">
    <w:name w:val="annotation reference"/>
    <w:next w:val="style39"/>
    <w:uiPriority w:val="99"/>
    <w:rPr>
      <w:sz w:val="16"/>
      <w:szCs w:val="16"/>
    </w:rPr>
  </w:style>
  <w:style w:type="character" w:customStyle="1" w:styleId="style4106">
    <w:name w:val="Základný text 3 Char"/>
    <w:next w:val="style4106"/>
    <w:link w:val="style81"/>
    <w:rPr>
      <w:color w:val="ff0000"/>
    </w:rPr>
  </w:style>
  <w:style w:type="paragraph" w:styleId="style106">
    <w:name w:val="annotation subject"/>
    <w:basedOn w:val="style30"/>
    <w:next w:val="style30"/>
    <w:link w:val="style4107"/>
    <w:uiPriority w:val="99"/>
    <w:pPr>
      <w:spacing w:after="0" w:lineRule="auto" w:line="240"/>
    </w:pPr>
    <w:rPr>
      <w:b/>
      <w:bCs/>
    </w:rPr>
  </w:style>
  <w:style w:type="character" w:customStyle="1" w:styleId="style4107">
    <w:name w:val="Predmet komentára Char"/>
    <w:next w:val="style4107"/>
    <w:link w:val="style106"/>
    <w:uiPriority w:val="99"/>
    <w:rPr>
      <w:rFonts w:ascii="Calibri" w:eastAsia="Calibri" w:hAnsi="Calibri"/>
      <w:b/>
      <w:bCs/>
      <w:lang w:eastAsia="en-US"/>
    </w:rPr>
  </w:style>
  <w:style w:type="paragraph" w:customStyle="1" w:styleId="style4108">
    <w:name w:val="Text"/>
    <w:basedOn w:val="style0"/>
    <w:next w:val="style4108"/>
    <w:pPr>
      <w:spacing w:before="120" w:lineRule="exact" w:line="300"/>
      <w:jc w:val="both"/>
    </w:pPr>
    <w:rPr>
      <w:rFonts w:ascii="Arial" w:hAnsi="Arial"/>
      <w:sz w:val="20"/>
      <w:szCs w:val="20"/>
      <w:lang w:eastAsia="cs-CZ"/>
    </w:rPr>
  </w:style>
  <w:style w:type="character" w:customStyle="1" w:styleId="style4109">
    <w:name w:val="Zarážka základného textu 3 Char"/>
    <w:next w:val="style4109"/>
    <w:link w:val="style83"/>
    <w:rPr>
      <w:sz w:val="24"/>
      <w:szCs w:val="24"/>
    </w:rPr>
  </w:style>
  <w:style w:type="table" w:styleId="style154">
    <w:name w:val="Table Grid"/>
    <w:basedOn w:val="style105"/>
    <w:next w:val="style154"/>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10">
    <w:name w:val="Základný text (2)_"/>
    <w:next w:val="style4110"/>
    <w:link w:val="style4112"/>
    <w:rPr>
      <w:rFonts w:ascii="Bookman Old Style" w:cs="Bookman Old Style" w:eastAsia="Bookman Old Style" w:hAnsi="Bookman Old Style"/>
      <w:sz w:val="19"/>
      <w:szCs w:val="19"/>
      <w:shd w:val="clear" w:color="auto" w:fill="ffffff"/>
    </w:rPr>
  </w:style>
  <w:style w:type="character" w:customStyle="1" w:styleId="style4111">
    <w:name w:val="Základný text (2)"/>
    <w:next w:val="style4111"/>
    <w:rPr>
      <w:rFonts w:ascii="Bookman Old Style" w:cs="Bookman Old Style" w:eastAsia="Bookman Old Style" w:hAnsi="Bookman Old Style"/>
      <w:b w:val="false"/>
      <w:bCs w:val="false"/>
      <w:i w:val="false"/>
      <w:iCs w:val="false"/>
      <w:smallCaps w:val="false"/>
      <w:color w:val="000000"/>
      <w:spacing w:val="0"/>
      <w:w w:val="100"/>
      <w:position w:val="0"/>
      <w:sz w:val="19"/>
      <w:szCs w:val="19"/>
      <w:u w:val="none"/>
      <w:lang w:val="sk-SK" w:bidi="sk-SK" w:eastAsia="sk-SK"/>
    </w:rPr>
  </w:style>
  <w:style w:type="paragraph" w:customStyle="1" w:styleId="style4112">
    <w:name w:val="Základný text (2)1"/>
    <w:basedOn w:val="style0"/>
    <w:next w:val="style4112"/>
    <w:link w:val="style4110"/>
    <w:pPr>
      <w:widowControl w:val="false"/>
      <w:shd w:val="clear" w:color="auto" w:fill="ffffff"/>
      <w:spacing w:after="360" w:lineRule="exact" w:line="221"/>
      <w:ind w:hanging="400"/>
      <w:jc w:val="both"/>
    </w:pPr>
    <w:rPr>
      <w:rFonts w:ascii="Bookman Old Style" w:eastAsia="Bookman Old Style" w:hAnsi="Bookman Old Style"/>
      <w:sz w:val="19"/>
      <w:szCs w:val="19"/>
    </w:rPr>
  </w:style>
  <w:style w:type="table" w:customStyle="1" w:styleId="style4113">
    <w:name w:val="Mriežka tabuľky1"/>
    <w:basedOn w:val="style105"/>
    <w:next w:val="style154"/>
    <w:uiPriority w:val="59"/>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14">
    <w:name w:val="Nadpis 2 Char"/>
    <w:next w:val="style4114"/>
    <w:link w:val="style2"/>
    <w:uiPriority w:val="9"/>
    <w:rPr>
      <w:rFonts w:ascii="Calibri Light" w:hAnsi="Calibri Light"/>
      <w:bCs/>
      <w:color w:val="0000cc"/>
      <w:sz w:val="32"/>
      <w:szCs w:val="22"/>
    </w:rPr>
  </w:style>
  <w:style w:type="character" w:customStyle="1" w:styleId="style4115">
    <w:name w:val="Nadpis 7 Char"/>
    <w:next w:val="style4115"/>
    <w:link w:val="style7"/>
    <w:rPr>
      <w:b/>
      <w:bCs/>
      <w:sz w:val="24"/>
      <w:szCs w:val="24"/>
      <w:u w:val="single"/>
    </w:rPr>
  </w:style>
  <w:style w:type="paragraph" w:customStyle="1" w:styleId="style4116">
    <w:name w:val="Default"/>
    <w:next w:val="style4116"/>
    <w:pPr>
      <w:autoSpaceDE w:val="false"/>
      <w:autoSpaceDN w:val="false"/>
      <w:adjustRightInd w:val="false"/>
    </w:pPr>
    <w:rPr>
      <w:rFonts w:ascii="Arial" w:cs="Arial" w:hAnsi="Arial"/>
      <w:color w:val="000000"/>
      <w:sz w:val="24"/>
      <w:szCs w:val="24"/>
    </w:rPr>
  </w:style>
  <w:style w:type="paragraph" w:customStyle="1" w:styleId="style4117">
    <w:name w:val="tlarial10ptpodaokrajavavo075cmpred6pt"/>
    <w:basedOn w:val="style0"/>
    <w:next w:val="style4117"/>
    <w:pPr>
      <w:spacing w:before="100" w:beforeAutospacing="true" w:after="100" w:afterAutospacing="true"/>
    </w:pPr>
    <w:rPr/>
  </w:style>
  <w:style w:type="character" w:customStyle="1" w:styleId="style4118">
    <w:name w:val="Päta Char"/>
    <w:next w:val="style4118"/>
    <w:link w:val="style32"/>
    <w:uiPriority w:val="99"/>
    <w:rPr>
      <w:sz w:val="24"/>
      <w:szCs w:val="24"/>
    </w:rPr>
  </w:style>
  <w:style w:type="paragraph" w:styleId="style157">
    <w:name w:val="No Spacing"/>
    <w:next w:val="style157"/>
    <w:qFormat/>
    <w:pPr/>
    <w:rPr>
      <w:sz w:val="24"/>
      <w:szCs w:val="24"/>
    </w:rPr>
  </w:style>
  <w:style w:type="character" w:styleId="style86">
    <w:name w:val="FollowedHyperlink"/>
    <w:next w:val="style86"/>
    <w:rPr>
      <w:color w:val="800080"/>
      <w:u w:val="single"/>
    </w:rPr>
  </w:style>
  <w:style w:type="character" w:customStyle="1" w:styleId="style4119">
    <w:name w:val="eop"/>
    <w:next w:val="style4119"/>
  </w:style>
  <w:style w:type="paragraph" w:customStyle="1" w:styleId="style4120">
    <w:name w:val="paragraph"/>
    <w:basedOn w:val="style0"/>
    <w:next w:val="style4120"/>
    <w:pPr>
      <w:spacing w:before="100" w:beforeAutospacing="true" w:after="100" w:afterAutospacing="true"/>
    </w:pPr>
    <w:rPr/>
  </w:style>
  <w:style w:type="character" w:customStyle="1" w:styleId="style4121">
    <w:name w:val="normaltextrun"/>
    <w:next w:val="style4121"/>
  </w:style>
  <w:style w:type="character" w:customStyle="1" w:styleId="style4122">
    <w:name w:val="spellingerror"/>
    <w:next w:val="style4122"/>
  </w:style>
  <w:style w:type="paragraph" w:customStyle="1" w:styleId="style4123">
    <w:name w:val="odstavec_a2"/>
    <w:basedOn w:val="style0"/>
    <w:next w:val="style4123"/>
    <w:pPr>
      <w:spacing w:after="240" w:lineRule="auto" w:line="312"/>
      <w:jc w:val="both"/>
    </w:pPr>
    <w:rPr>
      <w:noProof/>
      <w:color w:val="333333"/>
      <w:sz w:val="20"/>
      <w:szCs w:val="20"/>
    </w:rPr>
  </w:style>
  <w:style w:type="character" w:customStyle="1" w:styleId="style4124">
    <w:name w:val="Hlavička Char"/>
    <w:next w:val="style4124"/>
    <w:link w:val="style31"/>
    <w:uiPriority w:val="99"/>
    <w:rPr>
      <w:sz w:val="24"/>
      <w:szCs w:val="24"/>
    </w:rPr>
  </w:style>
  <w:style w:type="character" w:customStyle="1" w:styleId="style4125">
    <w:name w:val="Nadpis 1 Char"/>
    <w:next w:val="style4125"/>
    <w:link w:val="style1"/>
    <w:rPr>
      <w:b/>
      <w:bCs/>
      <w:sz w:val="28"/>
      <w:szCs w:val="24"/>
    </w:rPr>
  </w:style>
  <w:style w:type="paragraph" w:styleId="style266">
    <w:name w:val="TOC Heading"/>
    <w:basedOn w:val="style1"/>
    <w:next w:val="style0"/>
    <w:qFormat/>
    <w:uiPriority w:val="39"/>
    <w:pPr>
      <w:keepLines/>
      <w:spacing w:before="240" w:after="240" w:lineRule="auto" w:line="259"/>
      <w:jc w:val="left"/>
      <w:outlineLvl w:val="9"/>
    </w:pPr>
    <w:rPr>
      <w:b w:val="false"/>
      <w:bCs w:val="false"/>
      <w:color w:val="365f91"/>
      <w:sz w:val="32"/>
      <w:szCs w:val="32"/>
    </w:rPr>
  </w:style>
  <w:style w:type="paragraph" w:styleId="style20">
    <w:name w:val="toc 2"/>
    <w:next w:val="style0"/>
    <w:uiPriority w:val="39"/>
    <w:pPr>
      <w:tabs>
        <w:tab w:val="left" w:leader="none" w:pos="709"/>
        <w:tab w:val="right" w:leader="dot" w:pos="9344"/>
      </w:tabs>
      <w:spacing w:after="100" w:lineRule="auto" w:line="276"/>
      <w:ind w:left="220"/>
      <w:jc w:val="both"/>
    </w:pPr>
    <w:rPr>
      <w:rFonts w:eastAsia="Calibri"/>
      <w:sz w:val="24"/>
      <w:szCs w:val="22"/>
      <w:lang w:eastAsia="en-US"/>
    </w:rPr>
  </w:style>
  <w:style w:type="character" w:customStyle="1" w:styleId="style4126">
    <w:name w:val="Základný text_"/>
    <w:next w:val="style4126"/>
    <w:link w:val="style4127"/>
    <w:rPr>
      <w:shd w:val="clear" w:color="auto" w:fill="ffffff"/>
    </w:rPr>
  </w:style>
  <w:style w:type="paragraph" w:customStyle="1" w:styleId="style4127">
    <w:name w:val="Základný text2"/>
    <w:basedOn w:val="style0"/>
    <w:next w:val="style4127"/>
    <w:link w:val="style4126"/>
    <w:pPr>
      <w:widowControl w:val="false"/>
      <w:shd w:val="clear" w:color="auto" w:fill="ffffff"/>
      <w:spacing w:before="240" w:after="240" w:lineRule="exact" w:line="278"/>
      <w:ind w:hanging="840"/>
      <w:jc w:val="center"/>
    </w:pPr>
    <w:rPr>
      <w:sz w:val="20"/>
      <w:szCs w:val="20"/>
    </w:rPr>
  </w:style>
  <w:style w:type="paragraph" w:styleId="style178">
    <w:name w:val="Revision"/>
    <w:next w:val="style178"/>
    <w:uiPriority w:val="99"/>
    <w:pPr/>
    <w:rPr>
      <w:sz w:val="24"/>
      <w:szCs w:val="24"/>
    </w:rPr>
  </w:style>
  <w:style w:type="character" w:customStyle="1" w:styleId="style4128">
    <w:name w:val="highlight"/>
    <w:basedOn w:val="style65"/>
    <w:next w:val="style4128"/>
  </w:style>
  <w:style w:type="paragraph" w:customStyle="1" w:styleId="style4129">
    <w:name w:val="Základný text 31"/>
    <w:basedOn w:val="style0"/>
    <w:next w:val="style4129"/>
    <w:pPr>
      <w:suppressAutoHyphens/>
      <w:jc w:val="center"/>
    </w:pPr>
    <w:rPr>
      <w:color w:val="ff0000"/>
      <w:sz w:val="20"/>
      <w:szCs w:val="20"/>
      <w:lang w:eastAsia="ar-SA"/>
    </w:rPr>
  </w:style>
  <w:style w:type="paragraph" w:customStyle="1" w:styleId="style4130">
    <w:name w:val="Bullets level 1"/>
    <w:basedOn w:val="style0"/>
    <w:next w:val="style4130"/>
    <w:link w:val="style4131"/>
    <w:qFormat/>
    <w:pPr>
      <w:spacing w:before="120"/>
      <w:ind w:left="182" w:hanging="40"/>
      <w:jc w:val="both"/>
    </w:pPr>
    <w:rPr>
      <w:rFonts w:ascii="Arial" w:hAnsi="Arial"/>
      <w:color w:val="000000"/>
      <w:sz w:val="19"/>
      <w:szCs w:val="20"/>
      <w:lang w:val="en-GB" w:eastAsia="en-US"/>
    </w:rPr>
  </w:style>
  <w:style w:type="character" w:customStyle="1" w:styleId="style4131">
    <w:name w:val="Bullets level 1 Char"/>
    <w:next w:val="style4131"/>
    <w:link w:val="style4130"/>
    <w:rPr>
      <w:rFonts w:ascii="Arial" w:hAnsi="Arial"/>
      <w:color w:val="000000"/>
      <w:sz w:val="19"/>
      <w:lang w:val="en-GB" w:eastAsia="en-US"/>
    </w:rPr>
  </w:style>
  <w:style w:type="character" w:customStyle="1" w:styleId="style4132">
    <w:name w:val="Nevyriešená zmienka1"/>
    <w:next w:val="style4132"/>
    <w:uiPriority w:val="99"/>
    <w:rPr>
      <w:color w:val="605e5c"/>
      <w:shd w:val="clear" w:color="auto" w:fill="e1dfdd"/>
    </w:rPr>
  </w:style>
  <w:style w:type="paragraph" w:styleId="style19">
    <w:name w:val="toc 1"/>
    <w:basedOn w:val="style0"/>
    <w:next w:val="style0"/>
    <w:uiPriority w:val="39"/>
    <w:pPr/>
  </w:style>
  <w:style w:type="character" w:customStyle="1" w:styleId="style4133">
    <w:name w:val="Odsek zoznamu Char"/>
    <w:basedOn w:val="style65"/>
    <w:next w:val="style4133"/>
    <w:link w:val="style179"/>
    <w:uiPriority w:val="34"/>
    <w:rPr>
      <w:sz w:val="24"/>
      <w:szCs w:val="22"/>
    </w:rPr>
  </w:style>
  <w:style w:type="character" w:styleId="style38">
    <w:name w:val="footnote reference"/>
    <w:next w:val="style38"/>
    <w:rPr>
      <w:vertAlign w:val="superscript"/>
    </w:rPr>
  </w:style>
  <w:style w:type="paragraph" w:styleId="style29">
    <w:name w:val="footnote text"/>
    <w:basedOn w:val="style0"/>
    <w:next w:val="style29"/>
    <w:link w:val="style4134"/>
    <w:uiPriority w:val="99"/>
    <w:pPr>
      <w:jc w:val="both"/>
    </w:pPr>
    <w:rPr>
      <w:rFonts w:cs="SimSun" w:eastAsia="Calibri"/>
      <w:sz w:val="20"/>
      <w:szCs w:val="20"/>
      <w:lang w:eastAsia="en-US"/>
    </w:rPr>
  </w:style>
  <w:style w:type="character" w:customStyle="1" w:styleId="style4134">
    <w:name w:val="Text poznámky pod čiarou Char"/>
    <w:basedOn w:val="style65"/>
    <w:next w:val="style4134"/>
    <w:link w:val="style29"/>
    <w:uiPriority w:val="99"/>
    <w:rPr>
      <w:rFonts w:cs="SimSun" w:eastAsia="Calibri"/>
      <w:lang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2.xml"/><Relationship Id="rId11" Type="http://schemas.openxmlformats.org/officeDocument/2006/relationships/customXml" Target="../customXml/item1.xml"/><Relationship Id="rId10" Type="http://schemas.openxmlformats.org/officeDocument/2006/relationships/theme" Target="theme/theme1.xml"/><Relationship Id="rId12" Type="http://schemas.openxmlformats.org/officeDocument/2006/relationships/customXml" Target="../customXml/item2.xml"/><Relationship Id="rId9" Type="http://schemas.openxmlformats.org/officeDocument/2006/relationships/settings" Target="settings.xml"/><Relationship Id="rId5" Type="http://schemas.openxmlformats.org/officeDocument/2006/relationships/header" Target="header3.xml"/><Relationship Id="rId6" Type="http://schemas.openxmlformats.org/officeDocument/2006/relationships/footnotes" Target="footnotes.xml"/><Relationship Id="rId7" Type="http://schemas.openxmlformats.org/officeDocument/2006/relationships/styles" Target="styles.xml"/><Relationship Id="rId8" Type="http://schemas.openxmlformats.org/officeDocument/2006/relationships/fontTable" Target="fontTable.xml"/></Relationships>
</file>

<file path=word/_rels/header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customXml/itemProps2.xml><?xml version="1.0" encoding="utf-8"?>
<ds:datastoreItem xmlns:ds="http://schemas.openxmlformats.org/officeDocument/2006/customXml" ds:itemID="{0F565EA6-86FF-4A1B-ABB5-3D1848F5A38C}">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Words>2379</Words>
  <Pages>8</Pages>
  <Characters>15440</Characters>
  <Application>WPS Office</Application>
  <DocSecurity>0</DocSecurity>
  <Paragraphs>236</Paragraphs>
  <ScaleCrop>false</ScaleCrop>
  <LinksUpToDate>false</LinksUpToDate>
  <CharactersWithSpaces>17749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2025-09-19T13:16:00Z</dcterms:created>
  <dc:creator>WPS Office</dc:creator>
  <lastModifiedBy>TB311XU</lastModifiedBy>
  <lastPrinted>2024-06-10T12:07:00Z</lastPrinted>
  <dcterms:modified xsi:type="dcterms:W3CDTF">2025-09-23T10:05:22Z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1325842fb8014a51af671fe76d703d6f</vt:lpwstr>
  </property>
</Properties>
</file>