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ACAC5F0" w:rsidR="009E630F" w:rsidRPr="004C16EA" w:rsidRDefault="00CA1B49" w:rsidP="006D5FA3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b/>
                <w:bCs/>
              </w:rPr>
              <w:t>Transportný box pre moduly HCP</w:t>
            </w:r>
            <w:r w:rsidR="006D5FA3">
              <w:rPr>
                <w:b/>
                <w:bCs/>
              </w:rPr>
              <w:t xml:space="preserve"> 2</w:t>
            </w:r>
            <w:bookmarkStart w:id="1" w:name="_GoBack"/>
            <w:bookmarkEnd w:id="1"/>
            <w:r w:rsidR="004C16EA">
              <w:rPr>
                <w:b/>
                <w:bCs/>
              </w:rPr>
              <w:t xml:space="preserve">  </w:t>
            </w:r>
            <w:r w:rsidR="004C16EA">
              <w:rPr>
                <w:bCs/>
              </w:rPr>
              <w:t>(ID:70</w:t>
            </w:r>
            <w:r w:rsidR="006D5FA3">
              <w:rPr>
                <w:bCs/>
              </w:rPr>
              <w:t>769</w:t>
            </w:r>
            <w:r w:rsidR="004C16EA">
              <w:rPr>
                <w:bCs/>
              </w:rPr>
              <w:t>)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C2BBE83" w:rsidR="009826F1" w:rsidRPr="00CA1B49" w:rsidRDefault="00CA1B49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CA1B49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35A5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F35A59">
        <w:rPr>
          <w:rFonts w:ascii="Arial Narrow" w:hAnsi="Arial Narrow" w:cs="Times New Roman"/>
          <w:i/>
          <w:iCs/>
          <w:color w:val="FF0000"/>
        </w:rPr>
      </w:r>
      <w:r w:rsidR="00F35A5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8B29" w14:textId="77777777" w:rsidR="00F35A59" w:rsidRDefault="00F35A59" w:rsidP="003901BE">
      <w:r>
        <w:separator/>
      </w:r>
    </w:p>
  </w:endnote>
  <w:endnote w:type="continuationSeparator" w:id="0">
    <w:p w14:paraId="3F70737F" w14:textId="77777777" w:rsidR="00F35A59" w:rsidRDefault="00F35A5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2F89" w14:textId="77777777" w:rsidR="00F35A59" w:rsidRDefault="00F35A59" w:rsidP="003901BE">
      <w:r>
        <w:separator/>
      </w:r>
    </w:p>
  </w:footnote>
  <w:footnote w:type="continuationSeparator" w:id="0">
    <w:p w14:paraId="5B8610E9" w14:textId="77777777" w:rsidR="00F35A59" w:rsidRDefault="00F35A5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5542E"/>
    <w:rsid w:val="004A2822"/>
    <w:rsid w:val="004B471D"/>
    <w:rsid w:val="004C16EA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D5FA3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92769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1032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1B49"/>
    <w:rsid w:val="00CA53E3"/>
    <w:rsid w:val="00CA64AB"/>
    <w:rsid w:val="00CA7BD9"/>
    <w:rsid w:val="00CC100A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A0842"/>
    <w:rsid w:val="00EB4EAC"/>
    <w:rsid w:val="00EC4BC0"/>
    <w:rsid w:val="00EE007A"/>
    <w:rsid w:val="00EE3750"/>
    <w:rsid w:val="00F00D57"/>
    <w:rsid w:val="00F14CC6"/>
    <w:rsid w:val="00F345EC"/>
    <w:rsid w:val="00F35A59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B03C22A2-4E70-420F-9997-B287A1AE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Sylvia Pavlíková</cp:lastModifiedBy>
  <cp:revision>12</cp:revision>
  <cp:lastPrinted>2019-09-18T08:24:00Z</cp:lastPrinted>
  <dcterms:created xsi:type="dcterms:W3CDTF">2024-09-13T13:20:00Z</dcterms:created>
  <dcterms:modified xsi:type="dcterms:W3CDTF">2025-09-18T11:28:00Z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