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                 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7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>Dotyczy:  Budowa ogólnodostępnej tężni solankowej wraz z towarzyszącą infrastrukturą oraz zagospodarowaniem terenu w Parku Miejskim w Andrychowie</w:t>
      </w:r>
    </w:p>
    <w:p>
      <w:pPr>
        <w:pStyle w:val="Normal"/>
        <w:numPr>
          <w:ilvl w:val="0"/>
          <w:numId w:val="2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5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33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.2025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hanging="0" w:left="4536" w:right="227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i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ascii="Liberation Serif;Times New Roman" w:hAnsi="Liberation Serif;Times New Roman"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rsid w:val="001a70c0"/>
    <w:pPr>
      <w:suppressLineNumbers/>
    </w:pPr>
    <w:rPr>
      <w:rFonts w:cs="Mangal"/>
    </w:rPr>
  </w:style>
  <w:style w:type="paragraph" w:styleId="Gwkaistopkauser" w:customStyle="1">
    <w:name w:val="Główka i stopka (user)"/>
    <w:basedOn w:val="Normal"/>
    <w:qFormat/>
    <w:rsid w:val="001a70c0"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Application>LibreOffice/25.2.5.2$Windows_X86_64 LibreOffice_project/03d19516eb2e1dd5d4ccd751a0d6f35f35e08022</Application>
  <AppVersion>15.0000</AppVersion>
  <Pages>2</Pages>
  <Words>183</Words>
  <Characters>1395</Characters>
  <CharactersWithSpaces>1576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2025-10-06T10:10:11Z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