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>Opis predmetu zákazk</w:t>
      </w:r>
      <w:bookmarkStart w:id="0" w:name="_GoBack"/>
      <w:bookmarkEnd w:id="0"/>
      <w:r w:rsidRPr="00E11546">
        <w:rPr>
          <w:rFonts w:ascii="Arial Narrow" w:hAnsi="Arial Narrow" w:cs="Times New Roman"/>
          <w:b/>
          <w:sz w:val="26"/>
          <w:szCs w:val="26"/>
        </w:rPr>
        <w:t xml:space="preserve">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1" w:name="kontakt_meno"/>
      <w:bookmarkEnd w:id="1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r w:rsidRPr="002F5365">
        <w:rPr>
          <w:rStyle w:val="Hypertextovprepojenie"/>
          <w:rFonts w:ascii="Arial Narrow" w:hAnsi="Arial Narrow" w:cs="Times New Roman"/>
          <w:sz w:val="22"/>
          <w:szCs w:val="22"/>
        </w:rPr>
        <w:t>https://josephine.proebiz.com</w:t>
      </w:r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DB2A90">
        <w:rPr>
          <w:rFonts w:ascii="Arial Narrow" w:hAnsi="Arial Narrow" w:cs="Times New Roman"/>
          <w:iCs/>
          <w:sz w:val="24"/>
          <w:szCs w:val="24"/>
        </w:rPr>
        <w:t>Zabezpečenie kalibrácie, profylaktickej kontroly prístroja – spektrometra XRF - VANTA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540912">
        <w:rPr>
          <w:rFonts w:ascii="Arial Narrow" w:eastAsiaTheme="minorHAnsi" w:hAnsi="Arial Narrow" w:cs="Arial"/>
          <w:sz w:val="22"/>
          <w:szCs w:val="22"/>
          <w:lang w:eastAsia="en-US"/>
        </w:rPr>
        <w:t>50411000-9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KCHL CO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2F5365" w:rsidRPr="002F5365">
        <w:rPr>
          <w:rFonts w:ascii="Arial Narrow" w:hAnsi="Arial Narrow" w:cs="Times New Roman"/>
          <w:b/>
          <w:sz w:val="22"/>
          <w:szCs w:val="22"/>
        </w:rPr>
        <w:t>15</w:t>
      </w:r>
      <w:r w:rsidR="00F941E0" w:rsidRPr="002F5365">
        <w:rPr>
          <w:rFonts w:ascii="Arial Narrow" w:hAnsi="Arial Narrow" w:cs="Times New Roman"/>
          <w:b/>
          <w:sz w:val="24"/>
          <w:szCs w:val="24"/>
        </w:rPr>
        <w:t>.1</w:t>
      </w:r>
      <w:r w:rsidR="002F5365" w:rsidRPr="002F5365">
        <w:rPr>
          <w:rFonts w:ascii="Arial Narrow" w:hAnsi="Arial Narrow" w:cs="Times New Roman"/>
          <w:b/>
          <w:sz w:val="24"/>
          <w:szCs w:val="24"/>
        </w:rPr>
        <w:t>1.2025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CD7426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DB2A90">
        <w:rPr>
          <w:rFonts w:ascii="Arial Narrow" w:hAnsi="Arial Narrow" w:cs="Times New Roman"/>
          <w:iCs/>
          <w:sz w:val="24"/>
          <w:szCs w:val="24"/>
        </w:rPr>
        <w:t>Zabezpečenie profylaktickej kontroly, nastavenia, upgrade SW a kalibrácie prístroja XRF – VANTA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 xml:space="preserve">Popis </w:t>
            </w:r>
            <w:proofErr w:type="spellStart"/>
            <w:r w:rsidRPr="00486348">
              <w:rPr>
                <w:rFonts w:ascii="Arial Narrow" w:hAnsi="Arial Narrow"/>
                <w:b/>
              </w:rPr>
              <w:t>závady</w:t>
            </w:r>
            <w:proofErr w:type="spellEnd"/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DB2A90" w:rsidRPr="00DB2A90" w:rsidRDefault="00DB2A90" w:rsidP="00DB2A90">
            <w:pPr>
              <w:spacing w:after="0" w:line="276" w:lineRule="auto"/>
              <w:jc w:val="both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DB2A90">
              <w:rPr>
                <w:rFonts w:ascii="Arial Narrow" w:hAnsi="Arial Narrow" w:cs="Times New Roman"/>
                <w:iCs/>
                <w:sz w:val="22"/>
                <w:szCs w:val="22"/>
              </w:rPr>
              <w:t>Zabezpečenie profylaktickej kontroly, nastavenia, upgrade SW a kalibrácie prístroja XRF – VANTA</w:t>
            </w:r>
          </w:p>
          <w:p w:rsidR="00664C03" w:rsidRPr="00DB2A90" w:rsidRDefault="00664C03" w:rsidP="00AB499E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DB2A90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Kalibrácia, profylaktická kontrola prístroja</w:t>
            </w:r>
          </w:p>
          <w:p w:rsidR="00F77B68" w:rsidRPr="00BE23CC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664C03" w:rsidRPr="00F941E0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E11546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E11546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88" w:rsidRDefault="00BA6F88" w:rsidP="009F6154">
      <w:pPr>
        <w:spacing w:after="0" w:line="240" w:lineRule="auto"/>
      </w:pPr>
      <w:r>
        <w:separator/>
      </w:r>
    </w:p>
  </w:endnote>
  <w:endnote w:type="continuationSeparator" w:id="0">
    <w:p w:rsidR="00BA6F88" w:rsidRDefault="00BA6F88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88" w:rsidRDefault="00BA6F88" w:rsidP="009F6154">
      <w:pPr>
        <w:spacing w:after="0" w:line="240" w:lineRule="auto"/>
      </w:pPr>
      <w:r>
        <w:separator/>
      </w:r>
    </w:p>
  </w:footnote>
  <w:footnote w:type="continuationSeparator" w:id="0">
    <w:p w:rsidR="00BA6F88" w:rsidRDefault="00BA6F88" w:rsidP="009F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65" w:rsidRPr="002F5365" w:rsidRDefault="002F5365" w:rsidP="002F5365">
    <w:pPr>
      <w:pStyle w:val="Hlavika"/>
      <w:ind w:firstLine="2124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Príloha č. </w:t>
    </w:r>
    <w:r w:rsidR="008B3280">
      <w:rPr>
        <w:rFonts w:ascii="Times New Roman" w:hAnsi="Times New Roman"/>
        <w:sz w:val="20"/>
        <w:szCs w:val="20"/>
      </w:rPr>
      <w:t>1</w:t>
    </w:r>
    <w:r w:rsidRPr="002F5365">
      <w:rPr>
        <w:rFonts w:ascii="Times New Roman" w:hAnsi="Times New Roman"/>
        <w:sz w:val="20"/>
        <w:szCs w:val="20"/>
      </w:rPr>
      <w:t xml:space="preserve"> k Výzve na predloženie ponuky č. CPBB-OMTZ-2025/003213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C02008AE"/>
    <w:lvl w:ilvl="0" w:tplc="67CA51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57703"/>
    <w:rsid w:val="00283B97"/>
    <w:rsid w:val="00297D34"/>
    <w:rsid w:val="002F5365"/>
    <w:rsid w:val="00307736"/>
    <w:rsid w:val="00315FFB"/>
    <w:rsid w:val="003946BD"/>
    <w:rsid w:val="00394E17"/>
    <w:rsid w:val="003A4372"/>
    <w:rsid w:val="00431C3B"/>
    <w:rsid w:val="00486348"/>
    <w:rsid w:val="004B2FA4"/>
    <w:rsid w:val="004D7CBA"/>
    <w:rsid w:val="004F3291"/>
    <w:rsid w:val="00537251"/>
    <w:rsid w:val="00540912"/>
    <w:rsid w:val="00555DAB"/>
    <w:rsid w:val="00664C03"/>
    <w:rsid w:val="006F085B"/>
    <w:rsid w:val="00794901"/>
    <w:rsid w:val="007B5C84"/>
    <w:rsid w:val="007C171F"/>
    <w:rsid w:val="007C5189"/>
    <w:rsid w:val="008B3280"/>
    <w:rsid w:val="00901276"/>
    <w:rsid w:val="009344DE"/>
    <w:rsid w:val="009660A5"/>
    <w:rsid w:val="009C2A8C"/>
    <w:rsid w:val="009D2638"/>
    <w:rsid w:val="009F6154"/>
    <w:rsid w:val="00A156AF"/>
    <w:rsid w:val="00A2590D"/>
    <w:rsid w:val="00A25D29"/>
    <w:rsid w:val="00AB499E"/>
    <w:rsid w:val="00AE40E6"/>
    <w:rsid w:val="00AE65FE"/>
    <w:rsid w:val="00B10D17"/>
    <w:rsid w:val="00B4470F"/>
    <w:rsid w:val="00B818A1"/>
    <w:rsid w:val="00BA6F88"/>
    <w:rsid w:val="00BE23CC"/>
    <w:rsid w:val="00C07C01"/>
    <w:rsid w:val="00C11FAB"/>
    <w:rsid w:val="00C342D8"/>
    <w:rsid w:val="00CA0B1A"/>
    <w:rsid w:val="00CA0B5C"/>
    <w:rsid w:val="00CC3B00"/>
    <w:rsid w:val="00CD5EBC"/>
    <w:rsid w:val="00CD6453"/>
    <w:rsid w:val="00CD7426"/>
    <w:rsid w:val="00DB0134"/>
    <w:rsid w:val="00DB2A90"/>
    <w:rsid w:val="00E11546"/>
    <w:rsid w:val="00E647E8"/>
    <w:rsid w:val="00EA23E2"/>
    <w:rsid w:val="00EB2B39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4</cp:revision>
  <cp:lastPrinted>2025-10-14T07:18:00Z</cp:lastPrinted>
  <dcterms:created xsi:type="dcterms:W3CDTF">2025-10-14T07:09:00Z</dcterms:created>
  <dcterms:modified xsi:type="dcterms:W3CDTF">2025-10-14T07:21:00Z</dcterms:modified>
</cp:coreProperties>
</file>