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FD08" w14:textId="5AB4B201" w:rsidR="00B2664B" w:rsidRPr="00B2664B" w:rsidRDefault="00B2664B" w:rsidP="00B2664B">
      <w:pPr>
        <w:ind w:left="-142" w:right="135"/>
        <w:jc w:val="right"/>
        <w:rPr>
          <w:rFonts w:ascii="Aptos" w:hAnsi="Aptos"/>
        </w:rPr>
      </w:pPr>
      <w:r w:rsidRPr="001033BB">
        <w:rPr>
          <w:rFonts w:ascii="Aptos" w:hAnsi="Aptos"/>
        </w:rPr>
        <w:t xml:space="preserve">Príloha č. </w:t>
      </w:r>
      <w:r w:rsidR="001033BB" w:rsidRPr="001033BB">
        <w:rPr>
          <w:rFonts w:ascii="Aptos" w:hAnsi="Aptos"/>
        </w:rPr>
        <w:t>9</w:t>
      </w:r>
      <w:r w:rsidRPr="001033BB">
        <w:rPr>
          <w:rFonts w:ascii="Aptos" w:hAnsi="Aptos"/>
        </w:rPr>
        <w:t xml:space="preserve"> k SP</w:t>
      </w:r>
    </w:p>
    <w:p w14:paraId="34BF098C" w14:textId="77777777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Cs/>
          <w:sz w:val="28"/>
          <w:szCs w:val="28"/>
        </w:rPr>
      </w:pPr>
    </w:p>
    <w:p w14:paraId="7064AB74" w14:textId="7C7F2518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B2664B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2A25A295" w14:textId="3A56ADBB" w:rsidR="006F41B8" w:rsidRPr="00B2664B" w:rsidRDefault="00B2664B" w:rsidP="00B2664B">
      <w:pPr>
        <w:contextualSpacing/>
        <w:jc w:val="center"/>
        <w:rPr>
          <w:rFonts w:ascii="Aptos" w:hAnsi="Aptos" w:cstheme="minorHAnsi"/>
          <w:b/>
          <w:sz w:val="28"/>
          <w:szCs w:val="28"/>
        </w:rPr>
      </w:pPr>
      <w:r w:rsidRPr="00B2664B">
        <w:rPr>
          <w:rFonts w:ascii="Aptos" w:hAnsi="Aptos"/>
          <w:b/>
          <w:sz w:val="28"/>
          <w:szCs w:val="28"/>
        </w:rPr>
        <w:t>k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medzinárodn</w:t>
      </w:r>
      <w:r w:rsidRPr="00B2664B">
        <w:rPr>
          <w:rFonts w:ascii="Aptos" w:hAnsi="Aptos" w:cstheme="minorHAnsi"/>
          <w:b/>
          <w:sz w:val="28"/>
          <w:szCs w:val="28"/>
        </w:rPr>
        <w:t>ým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sankci</w:t>
      </w:r>
      <w:r w:rsidRPr="00B2664B">
        <w:rPr>
          <w:rFonts w:ascii="Aptos" w:hAnsi="Aptos" w:cstheme="minorHAnsi"/>
          <w:b/>
          <w:sz w:val="28"/>
          <w:szCs w:val="28"/>
        </w:rPr>
        <w:t>ám</w:t>
      </w:r>
    </w:p>
    <w:p w14:paraId="00DAF5D7" w14:textId="77777777" w:rsidR="006F41B8" w:rsidRPr="00B2664B" w:rsidRDefault="006F41B8" w:rsidP="006F41B8">
      <w:pPr>
        <w:jc w:val="both"/>
        <w:rPr>
          <w:rFonts w:ascii="Aptos" w:hAnsi="Aptos" w:cstheme="minorHAnsi"/>
        </w:rPr>
      </w:pPr>
    </w:p>
    <w:p w14:paraId="2012A1E6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</w:rPr>
        <w:t xml:space="preserve">Centrálne verejné obstarávanie zákazky na predmet nadlimitnej zákazky s názvom </w:t>
      </w:r>
      <w:r w:rsidRPr="004E18CF">
        <w:rPr>
          <w:rFonts w:ascii="Aptos" w:hAnsi="Aptos"/>
          <w:b/>
        </w:rPr>
        <w:t>„CVO - Lieky s účinnou látkou: Albumín, normálne ľudské imunoglobulíny a chlorid sodný 0,9%“</w:t>
      </w:r>
    </w:p>
    <w:p w14:paraId="0A1E6BEF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podľa zákona č. 343/2015 Z. z. o verejnom obstarávaní a o zmene a doplnení niektorých zákonov, v znení neskorších predpisov.</w:t>
      </w:r>
    </w:p>
    <w:p w14:paraId="4C1F749C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</w:p>
    <w:p w14:paraId="6DC954C5" w14:textId="77777777" w:rsidR="00B2664B" w:rsidRPr="00682538" w:rsidRDefault="00B2664B" w:rsidP="00B2664B">
      <w:pPr>
        <w:spacing w:after="200" w:line="276" w:lineRule="auto"/>
        <w:rPr>
          <w:rStyle w:val="ra"/>
          <w:rFonts w:ascii="Aptos" w:eastAsiaTheme="minorHAnsi" w:hAnsi="Aptos"/>
        </w:rPr>
      </w:pPr>
      <w:r w:rsidRPr="00682538">
        <w:rPr>
          <w:rFonts w:ascii="Aptos" w:hAnsi="Aptos"/>
        </w:rPr>
        <w:t xml:space="preserve">Uchádzač: </w:t>
      </w:r>
    </w:p>
    <w:p w14:paraId="5FC5EA13" w14:textId="77777777" w:rsidR="00B2664B" w:rsidRPr="004E18CF" w:rsidRDefault="00B2664B" w:rsidP="00B2664B">
      <w:pPr>
        <w:spacing w:after="200" w:line="276" w:lineRule="auto"/>
        <w:jc w:val="both"/>
        <w:rPr>
          <w:rFonts w:ascii="Aptos" w:hAnsi="Aptos"/>
        </w:rPr>
      </w:pP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...........obchodné meno, sídlo, IČO 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zastúpený </w:t>
      </w: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..........titul, meno</w:t>
      </w:r>
      <w:r w:rsidRPr="004E18CF">
        <w:rPr>
          <w:rFonts w:ascii="Aptos" w:hAnsi="Aptos"/>
          <w:shd w:val="clear" w:color="auto" w:fill="D9D9D9"/>
        </w:rPr>
        <w:t xml:space="preserve"> a </w:t>
      </w:r>
      <w:r w:rsidRPr="004E18CF">
        <w:rPr>
          <w:rFonts w:ascii="Aptos" w:hAnsi="Aptos"/>
          <w:i/>
          <w:shd w:val="clear" w:color="auto" w:fill="D9D9D9"/>
        </w:rPr>
        <w:t>priezvisko štatutárneho zástupcu / poverenej osoby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</w:t>
      </w:r>
    </w:p>
    <w:p w14:paraId="46B1B2F1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  <w:b/>
        </w:rPr>
        <w:t>týmto čestne vyhlasujem, že</w:t>
      </w:r>
    </w:p>
    <w:p w14:paraId="4227CD0E" w14:textId="77777777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č. 2022/581 z 8.apríla 2022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onávacieho nariadenie Rady (EÚ);</w:t>
      </w:r>
    </w:p>
    <w:p w14:paraId="25E04176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0BF25DFE" w14:textId="1FDE1534" w:rsidR="00D966FE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 Predovšetkým vyhlasujem, že:</w:t>
      </w:r>
    </w:p>
    <w:p w14:paraId="6C65DC28" w14:textId="77777777" w:rsidR="008C754A" w:rsidRPr="008C754A" w:rsidRDefault="008C754A" w:rsidP="008C754A">
      <w:pPr>
        <w:pStyle w:val="Odsekzoznamu"/>
        <w:rPr>
          <w:rFonts w:ascii="Aptos" w:eastAsia="Times New Roman" w:hAnsi="Aptos" w:cstheme="minorHAnsi"/>
          <w:color w:val="222222"/>
          <w:lang w:eastAsia="sk-SK"/>
        </w:rPr>
      </w:pPr>
    </w:p>
    <w:p w14:paraId="6C0C8CD2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883534B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11F3997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5F12B6C" w14:textId="77777777" w:rsidR="00D966FE" w:rsidRPr="00B2664B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yššiu ako 10 % hodnoty zákazky.</w:t>
      </w:r>
    </w:p>
    <w:p w14:paraId="463DC7EE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501BB8B5" w14:textId="273C0FFB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Zároveň čestne vyhlasujem, že táto ponuka/žiadosť o účasť a realizácia plnenia podľa zmluvy, ktorá bude výsledkom </w:t>
      </w:r>
      <w:r w:rsidR="00B2664B">
        <w:rPr>
          <w:rFonts w:ascii="Aptos" w:eastAsia="Times New Roman" w:hAnsi="Aptos" w:cstheme="minorHAnsi"/>
          <w:color w:val="222222"/>
          <w:lang w:eastAsia="sk-SK"/>
        </w:rPr>
        <w:t>predmetného centrálneho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verejného obstarávania zo strany hospodárskeho subjektu, ktorý zastupujem, nie je v rozpore so zákonom č. 289/2016 Z. z. o vykonávaní medzinárodných sankcií v znení neskorších predpisov, a teda najmä neporušuje </w:t>
      </w:r>
      <w:r w:rsidRPr="00B2664B">
        <w:rPr>
          <w:rFonts w:ascii="Aptos" w:eastAsia="Times New Roman" w:hAnsi="Aptos" w:cstheme="minorHAnsi"/>
          <w:color w:val="222222"/>
          <w:lang w:eastAsia="sk-SK"/>
        </w:rPr>
        <w:lastRenderedPageBreak/>
        <w:t>akúkoľvek medzinárodnú sankciu upravenú v akomkoľvek predpise o medzinárodnej sankcii podľa § 2 písm. b) zákona č. 289/2016 Z. z. o vykonávaní medzinárodných sankcií v znení neskorších predpisov.</w:t>
      </w:r>
    </w:p>
    <w:p w14:paraId="5289D5DD" w14:textId="77777777" w:rsidR="00D966FE" w:rsidRPr="00B2664B" w:rsidRDefault="00D966FE" w:rsidP="00D966FE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222222"/>
          <w:sz w:val="24"/>
          <w:szCs w:val="24"/>
          <w:lang w:eastAsia="sk-SK"/>
        </w:rPr>
      </w:pPr>
      <w:r w:rsidRPr="00B2664B">
        <w:rPr>
          <w:rFonts w:ascii="Aptos" w:eastAsia="Times New Roman" w:hAnsi="Aptos"/>
          <w:color w:val="222222"/>
          <w:sz w:val="24"/>
          <w:szCs w:val="24"/>
          <w:lang w:eastAsia="sk-SK"/>
        </w:rPr>
        <w:t> </w:t>
      </w:r>
    </w:p>
    <w:p w14:paraId="79F84DA1" w14:textId="77777777" w:rsidR="00B2664B" w:rsidRPr="006C5794" w:rsidRDefault="00B2664B" w:rsidP="00B2664B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49BA395F" w14:textId="77777777" w:rsidR="008C754A" w:rsidRDefault="008C754A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68D8B3DA" w14:textId="03360068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5C78AEF3" w14:textId="77777777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1CDC9910" w14:textId="77777777" w:rsidR="00B2664B" w:rsidRPr="006C5794" w:rsidRDefault="00B2664B" w:rsidP="00B2664B">
      <w:pPr>
        <w:tabs>
          <w:tab w:val="left" w:pos="851"/>
        </w:tabs>
        <w:autoSpaceDE w:val="0"/>
        <w:autoSpaceDN w:val="0"/>
        <w:ind w:left="357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 xml:space="preserve">     meno a priezvisko štatutárneho orgánu</w:t>
      </w:r>
    </w:p>
    <w:p w14:paraId="55E8CD28" w14:textId="77777777" w:rsidR="00B2664B" w:rsidRPr="006C5794" w:rsidRDefault="00B2664B" w:rsidP="00B2664B">
      <w:pPr>
        <w:tabs>
          <w:tab w:val="left" w:pos="851"/>
        </w:tabs>
        <w:autoSpaceDE w:val="0"/>
        <w:autoSpaceDN w:val="0"/>
        <w:ind w:left="357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p w14:paraId="0EAAFC47" w14:textId="77777777" w:rsidR="007A5696" w:rsidRPr="00B2664B" w:rsidRDefault="007A5696" w:rsidP="001A5297">
      <w:pPr>
        <w:shd w:val="clear" w:color="auto" w:fill="FFFFFF"/>
        <w:spacing w:before="144" w:after="0" w:line="240" w:lineRule="auto"/>
        <w:jc w:val="both"/>
        <w:rPr>
          <w:rFonts w:ascii="Aptos" w:hAnsi="Aptos"/>
        </w:rPr>
      </w:pPr>
    </w:p>
    <w:sectPr w:rsidR="007A5696" w:rsidRPr="00B266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5E7E" w14:textId="77777777" w:rsidR="003936EA" w:rsidRDefault="003936EA" w:rsidP="006F41B8">
      <w:pPr>
        <w:spacing w:after="0" w:line="240" w:lineRule="auto"/>
      </w:pPr>
      <w:r>
        <w:separator/>
      </w:r>
    </w:p>
  </w:endnote>
  <w:endnote w:type="continuationSeparator" w:id="0">
    <w:p w14:paraId="5DBFFBD7" w14:textId="77777777" w:rsidR="003936EA" w:rsidRDefault="003936EA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ptos" w:hAnsi="Aptos"/>
      </w:rPr>
      <w:id w:val="1903105918"/>
      <w:docPartObj>
        <w:docPartGallery w:val="Page Numbers (Bottom of Page)"/>
        <w:docPartUnique/>
      </w:docPartObj>
    </w:sdtPr>
    <w:sdtContent>
      <w:p w14:paraId="38045FDE" w14:textId="2A63EB59" w:rsidR="00682538" w:rsidRPr="00682538" w:rsidRDefault="00682538">
        <w:pPr>
          <w:pStyle w:val="Pta"/>
          <w:jc w:val="center"/>
          <w:rPr>
            <w:rFonts w:ascii="Aptos" w:hAnsi="Aptos"/>
          </w:rPr>
        </w:pPr>
        <w:r w:rsidRPr="00682538">
          <w:rPr>
            <w:rFonts w:ascii="Aptos" w:hAnsi="Aptos"/>
          </w:rPr>
          <w:fldChar w:fldCharType="begin"/>
        </w:r>
        <w:r w:rsidRPr="00682538">
          <w:rPr>
            <w:rFonts w:ascii="Aptos" w:hAnsi="Aptos"/>
          </w:rPr>
          <w:instrText>PAGE   \* MERGEFORMAT</w:instrText>
        </w:r>
        <w:r w:rsidRPr="00682538">
          <w:rPr>
            <w:rFonts w:ascii="Aptos" w:hAnsi="Aptos"/>
          </w:rPr>
          <w:fldChar w:fldCharType="separate"/>
        </w:r>
        <w:r w:rsidRPr="00682538">
          <w:rPr>
            <w:rFonts w:ascii="Aptos" w:hAnsi="Aptos"/>
          </w:rPr>
          <w:t>2</w:t>
        </w:r>
        <w:r w:rsidRPr="00682538">
          <w:rPr>
            <w:rFonts w:ascii="Aptos" w:hAnsi="Aptos"/>
          </w:rPr>
          <w:fldChar w:fldCharType="end"/>
        </w:r>
        <w:r>
          <w:rPr>
            <w:rFonts w:ascii="Aptos" w:hAnsi="Aptos"/>
          </w:rPr>
          <w:t>/</w:t>
        </w:r>
        <w:r>
          <w:rPr>
            <w:rFonts w:ascii="Aptos" w:hAnsi="Aptos"/>
          </w:rPr>
          <w:fldChar w:fldCharType="begin"/>
        </w:r>
        <w:r>
          <w:rPr>
            <w:rFonts w:ascii="Aptos" w:hAnsi="Aptos"/>
          </w:rPr>
          <w:instrText xml:space="preserve"> SECTIONPAGES   \* MERGEFORMAT </w:instrText>
        </w:r>
        <w:r>
          <w:rPr>
            <w:rFonts w:ascii="Aptos" w:hAnsi="Aptos"/>
          </w:rPr>
          <w:fldChar w:fldCharType="separate"/>
        </w:r>
        <w:r>
          <w:rPr>
            <w:rFonts w:ascii="Aptos" w:hAnsi="Aptos"/>
            <w:noProof/>
          </w:rPr>
          <w:t>2</w:t>
        </w:r>
        <w:r>
          <w:rPr>
            <w:rFonts w:ascii="Aptos" w:hAnsi="Aptos"/>
          </w:rPr>
          <w:fldChar w:fldCharType="end"/>
        </w:r>
      </w:p>
    </w:sdtContent>
  </w:sdt>
  <w:p w14:paraId="05BAFD10" w14:textId="77777777" w:rsidR="00682538" w:rsidRDefault="006825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3F68" w14:textId="77777777" w:rsidR="003936EA" w:rsidRDefault="003936EA" w:rsidP="006F41B8">
      <w:pPr>
        <w:spacing w:after="0" w:line="240" w:lineRule="auto"/>
      </w:pPr>
      <w:r>
        <w:separator/>
      </w:r>
    </w:p>
  </w:footnote>
  <w:footnote w:type="continuationSeparator" w:id="0">
    <w:p w14:paraId="4130E6A4" w14:textId="77777777" w:rsidR="003936EA" w:rsidRDefault="003936EA" w:rsidP="006F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9774463">
    <w:abstractNumId w:val="0"/>
  </w:num>
  <w:num w:numId="2" w16cid:durableId="1132284373">
    <w:abstractNumId w:val="3"/>
  </w:num>
  <w:num w:numId="3" w16cid:durableId="1217204356">
    <w:abstractNumId w:val="1"/>
  </w:num>
  <w:num w:numId="4" w16cid:durableId="2024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FE"/>
    <w:rsid w:val="001033BB"/>
    <w:rsid w:val="001A5297"/>
    <w:rsid w:val="003936EA"/>
    <w:rsid w:val="0048470D"/>
    <w:rsid w:val="00682538"/>
    <w:rsid w:val="006D31A9"/>
    <w:rsid w:val="006F41B8"/>
    <w:rsid w:val="007A5696"/>
    <w:rsid w:val="0084330A"/>
    <w:rsid w:val="008C754A"/>
    <w:rsid w:val="009A224D"/>
    <w:rsid w:val="00B2664B"/>
    <w:rsid w:val="00D05088"/>
    <w:rsid w:val="00D966FE"/>
    <w:rsid w:val="00E2608C"/>
    <w:rsid w:val="00E944DF"/>
    <w:rsid w:val="00F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7E3A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  <w:style w:type="paragraph" w:styleId="Bezriadkovania">
    <w:name w:val="No Spacing"/>
    <w:link w:val="BezriadkovaniaChar"/>
    <w:uiPriority w:val="99"/>
    <w:qFormat/>
    <w:rsid w:val="00B266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B2664B"/>
    <w:rPr>
      <w:rFonts w:ascii="Calibri" w:eastAsia="Times New Roman" w:hAnsi="Calibri" w:cs="Times New Roman"/>
      <w:lang w:eastAsia="sk-SK"/>
    </w:rPr>
  </w:style>
  <w:style w:type="character" w:customStyle="1" w:styleId="ra">
    <w:name w:val="ra"/>
    <w:basedOn w:val="Predvolenpsmoodseku"/>
    <w:rsid w:val="00B2664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4D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4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2025-10-12T14:37:00Z</dcterms:created>
  <dcterms:modified xsi:type="dcterms:W3CDTF">2025-10-13T12:14:00Z</dcterms:modified>
</cp:coreProperties>
</file>