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0C777323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2F1045">
        <w:rPr>
          <w:b/>
          <w:sz w:val="24"/>
          <w:szCs w:val="24"/>
        </w:rPr>
        <w:t>J.Palacha 2 (MP) – Rekonstrukce sprch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5D12CDED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2F1045">
        <w:rPr>
          <w:rFonts w:eastAsia="Calibri" w:cs="Calibri"/>
          <w:b/>
          <w:bCs/>
        </w:rPr>
        <w:t>SNMZ2-2025-002</w:t>
      </w:r>
      <w:r w:rsidRPr="71248732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4326DB"/>
    <w:rsid w:val="004F60A3"/>
    <w:rsid w:val="009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Zdeněk Brabec</cp:lastModifiedBy>
  <cp:revision>2</cp:revision>
  <dcterms:created xsi:type="dcterms:W3CDTF">2025-09-24T10:26:00Z</dcterms:created>
  <dcterms:modified xsi:type="dcterms:W3CDTF">2025-10-09T07:34:00Z</dcterms:modified>
</cp:coreProperties>
</file>