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E6A6" w14:textId="6A6C27DB" w:rsidR="004A0EA1" w:rsidRDefault="004A0EA1" w:rsidP="004A0EA1">
      <w:pPr>
        <w:jc w:val="center"/>
        <w:rPr>
          <w:rFonts w:ascii="Arial Narrow" w:hAnsi="Arial Narrow"/>
          <w:b/>
          <w:i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4750F7C5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047973">
        <w:rPr>
          <w:rFonts w:ascii="Arial Narrow" w:hAnsi="Arial Narrow"/>
          <w:b/>
          <w:sz w:val="28"/>
          <w:szCs w:val="28"/>
        </w:rPr>
        <w:t xml:space="preserve"> č. 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61AB5EE7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B553F1" w:rsidRPr="00B553F1">
        <w:rPr>
          <w:rFonts w:ascii="Arial Narrow" w:hAnsi="Arial Narrow" w:cs="Calibri"/>
          <w:b/>
          <w:sz w:val="22"/>
          <w:szCs w:val="22"/>
        </w:rPr>
        <w:t>„Reflexné a bezpečnostné prvky s logom PZ</w:t>
      </w:r>
      <w:r w:rsidR="00B553F1" w:rsidRPr="00B13C3C">
        <w:rPr>
          <w:rFonts w:ascii="Arial Narrow" w:hAnsi="Arial Narrow" w:cs="Calibri"/>
          <w:b/>
          <w:sz w:val="22"/>
          <w:szCs w:val="22"/>
        </w:rPr>
        <w:t>“</w:t>
      </w:r>
      <w:r w:rsidR="008814AE" w:rsidRPr="00B13C3C">
        <w:rPr>
          <w:rFonts w:ascii="Arial Narrow" w:hAnsi="Arial Narrow" w:cs="Calibri"/>
          <w:b/>
          <w:sz w:val="22"/>
          <w:szCs w:val="22"/>
        </w:rPr>
        <w:t xml:space="preserve"> </w:t>
      </w:r>
      <w:r w:rsidR="008814AE" w:rsidRPr="00B13C3C">
        <w:rPr>
          <w:rFonts w:ascii="Arial Narrow" w:hAnsi="Arial Narrow" w:cs="Calibri"/>
          <w:sz w:val="22"/>
          <w:szCs w:val="22"/>
        </w:rPr>
        <w:t>(</w:t>
      </w:r>
      <w:r w:rsidR="00B13C3C" w:rsidRPr="00B13C3C">
        <w:rPr>
          <w:rFonts w:ascii="Arial Narrow" w:hAnsi="Arial Narrow" w:cs="Calibri"/>
          <w:sz w:val="22"/>
          <w:szCs w:val="22"/>
        </w:rPr>
        <w:t>ID</w:t>
      </w:r>
      <w:r w:rsidR="00B13C3C">
        <w:rPr>
          <w:rFonts w:ascii="Arial Narrow" w:hAnsi="Arial Narrow" w:cs="Calibri"/>
          <w:sz w:val="22"/>
          <w:szCs w:val="22"/>
        </w:rPr>
        <w:t xml:space="preserve"> Josephine </w:t>
      </w:r>
      <w:r w:rsidR="00B13C3C" w:rsidRPr="00B13C3C">
        <w:rPr>
          <w:rFonts w:ascii="Arial Narrow" w:hAnsi="Arial Narrow" w:cs="Calibri"/>
          <w:sz w:val="22"/>
          <w:szCs w:val="22"/>
        </w:rPr>
        <w:t>71807</w:t>
      </w:r>
      <w:r w:rsidR="008814AE" w:rsidRPr="00733DA2">
        <w:rPr>
          <w:rFonts w:ascii="Arial Narrow" w:hAnsi="Arial Narrow" w:cs="Calibri"/>
          <w:sz w:val="22"/>
          <w:szCs w:val="22"/>
          <w:highlight w:val="yellow"/>
        </w:rPr>
        <w:t>)</w:t>
      </w:r>
      <w:r w:rsidR="001508D8" w:rsidRPr="001C4033">
        <w:rPr>
          <w:rFonts w:ascii="Arial Narrow" w:hAnsi="Arial Narrow" w:cs="Calibri"/>
          <w:bCs/>
          <w:sz w:val="22"/>
          <w:szCs w:val="22"/>
        </w:rPr>
        <w:t>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3A39D95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092E5F">
        <w:rPr>
          <w:rFonts w:ascii="Arial Narrow" w:hAnsi="Arial Narrow" w:cs="Calibri"/>
          <w:sz w:val="22"/>
          <w:szCs w:val="22"/>
        </w:rPr>
        <w:t xml:space="preserve"> tovaru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>súlade s čl. VI.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AA3DEE0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317D63AB" w:rsidR="00FC2417" w:rsidRPr="00F007B2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F007B2">
        <w:rPr>
          <w:rFonts w:ascii="Arial Narrow" w:hAnsi="Arial Narrow"/>
          <w:sz w:val="22"/>
        </w:rPr>
        <w:t xml:space="preserve">Predávajúci sa zaväzuje odovzdať </w:t>
      </w:r>
      <w:r w:rsidR="00E97A3E" w:rsidRPr="00F007B2">
        <w:rPr>
          <w:rFonts w:ascii="Arial Narrow" w:hAnsi="Arial Narrow" w:cs="Calibri"/>
          <w:sz w:val="22"/>
          <w:szCs w:val="22"/>
        </w:rPr>
        <w:t>tovar</w:t>
      </w:r>
      <w:r w:rsidR="00E97A3E" w:rsidRPr="00F007B2">
        <w:rPr>
          <w:rFonts w:ascii="Arial Narrow" w:hAnsi="Arial Narrow"/>
          <w:sz w:val="22"/>
        </w:rPr>
        <w:t xml:space="preserve"> </w:t>
      </w:r>
      <w:r w:rsidRPr="00F007B2">
        <w:rPr>
          <w:rFonts w:ascii="Arial Narrow" w:hAnsi="Arial Narrow"/>
          <w:sz w:val="22"/>
        </w:rPr>
        <w:t>Kupujúcemu</w:t>
      </w:r>
      <w:r w:rsidR="004C286C" w:rsidRPr="00F007B2">
        <w:rPr>
          <w:rFonts w:ascii="Arial Narrow" w:hAnsi="Arial Narrow"/>
          <w:sz w:val="22"/>
        </w:rPr>
        <w:t xml:space="preserve"> </w:t>
      </w:r>
      <w:r w:rsidR="005D07F2" w:rsidRPr="00F007B2">
        <w:rPr>
          <w:rFonts w:ascii="Arial Narrow" w:hAnsi="Arial Narrow" w:cs="Calibri"/>
          <w:sz w:val="22"/>
          <w:szCs w:val="22"/>
        </w:rPr>
        <w:t xml:space="preserve">do </w:t>
      </w:r>
      <w:r w:rsidR="008814AE">
        <w:rPr>
          <w:rFonts w:ascii="Arial Narrow" w:hAnsi="Arial Narrow" w:cs="Calibri"/>
          <w:sz w:val="22"/>
          <w:szCs w:val="22"/>
        </w:rPr>
        <w:t>30 dní od zadania objednávky</w:t>
      </w:r>
      <w:r w:rsidR="004B2C4C">
        <w:rPr>
          <w:rFonts w:ascii="Arial Narrow" w:hAnsi="Arial Narrow" w:cs="Calibri"/>
          <w:sz w:val="22"/>
          <w:szCs w:val="22"/>
        </w:rPr>
        <w:t>.</w:t>
      </w:r>
    </w:p>
    <w:p w14:paraId="610BF409" w14:textId="32CC0B3B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</w:t>
      </w:r>
      <w:r w:rsidRPr="004D27AE">
        <w:rPr>
          <w:rFonts w:ascii="Arial Narrow" w:hAnsi="Arial Narrow"/>
          <w:sz w:val="22"/>
        </w:rPr>
        <w:lastRenderedPageBreak/>
        <w:t xml:space="preserve">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DAB3449" w:rsidR="0055172A" w:rsidRPr="005D07F2" w:rsidRDefault="0055172A" w:rsidP="005D07F2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0B03347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54423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092E5F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1CD9ACDF" w14:textId="77777777" w:rsidR="00092E5F" w:rsidRDefault="00092E5F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F7E56EE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5FCD4756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C70BFF">
        <w:rPr>
          <w:rFonts w:ascii="Arial Narrow" w:hAnsi="Arial Narrow"/>
          <w:sz w:val="22"/>
        </w:rPr>
        <w:t xml:space="preserve">Zmluvné </w:t>
      </w:r>
      <w:r w:rsidR="00FC2417" w:rsidRPr="00C70BFF">
        <w:rPr>
          <w:rFonts w:ascii="Arial Narrow" w:hAnsi="Arial Narrow"/>
          <w:sz w:val="22"/>
        </w:rPr>
        <w:t xml:space="preserve">strany nasledovné 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 xml:space="preserve">edávajúceho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r w:rsidR="00CE13E9" w:rsidRPr="00C70BFF">
        <w:rPr>
          <w:rFonts w:ascii="Arial Narrow" w:hAnsi="Arial Narrow"/>
          <w:sz w:val="22"/>
          <w:lang w:val="sk-SK"/>
        </w:rPr>
        <w:t xml:space="preserve">vadného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509D9D3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3C50A3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333C6FDA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309BC2C2" w14:textId="77777777" w:rsidR="00092E5F" w:rsidRDefault="00092E5F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4578FDB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6E3293B4" w14:textId="25763F3E" w:rsidR="00F007B2" w:rsidRDefault="00613A8C" w:rsidP="00F007B2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007B2" w:rsidRPr="00C33AE6">
        <w:rPr>
          <w:rFonts w:ascii="Arial Narrow" w:hAnsi="Arial Narrow"/>
          <w:sz w:val="22"/>
          <w:lang w:val="sk-SK"/>
        </w:rPr>
        <w:t>X</w:t>
      </w:r>
      <w:r w:rsidR="00485F33" w:rsidRPr="00C33AE6">
        <w:rPr>
          <w:rFonts w:ascii="Arial Narrow" w:hAnsi="Arial Narrow"/>
          <w:sz w:val="22"/>
          <w:lang w:val="sk-SK"/>
        </w:rPr>
        <w:t>xxxxxxxxxxx</w:t>
      </w:r>
    </w:p>
    <w:p w14:paraId="0F11E042" w14:textId="7C57A400" w:rsidR="00485F33" w:rsidRPr="00F007B2" w:rsidRDefault="00F007B2" w:rsidP="00F007B2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398B905D" w14:textId="16077317" w:rsidR="00A41FD9" w:rsidRPr="00C33AE6" w:rsidRDefault="00485F33" w:rsidP="005D07F2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381C03B7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DB53F7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53D122F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B13C3C">
        <w:rPr>
          <w:rFonts w:ascii="Arial Narrow" w:hAnsi="Arial Narrow"/>
          <w:sz w:val="22"/>
          <w:lang w:val="sk-SK"/>
        </w:rPr>
        <w:t>/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71747169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</w:t>
      </w:r>
    </w:p>
    <w:p w14:paraId="1D4A72F0" w14:textId="15881157" w:rsidR="00336D81" w:rsidRPr="005D07F2" w:rsidRDefault="00383985" w:rsidP="005D07F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2686BB8F" w14:textId="5B051DF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612B56E5" w14:textId="77777777" w:rsidR="005D07F2" w:rsidRPr="00F436F6" w:rsidRDefault="005D07F2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3FC620" w14:textId="13C6C1F8" w:rsidR="005D07F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  <w:r w:rsidRPr="00F436F6">
        <w:rPr>
          <w:rFonts w:ascii="Arial Narrow" w:hAnsi="Arial Narrow"/>
          <w:sz w:val="22"/>
          <w:szCs w:val="22"/>
        </w:rPr>
        <w:tab/>
      </w:r>
    </w:p>
    <w:p w14:paraId="46FE2E1A" w14:textId="77777777" w:rsidR="008814AE" w:rsidRDefault="008814AE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3152E72" w14:textId="77777777" w:rsidR="008814AE" w:rsidRDefault="008814AE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3334C62" w14:textId="77777777" w:rsidR="008814AE" w:rsidRDefault="008814AE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EA38BB3" w:rsidR="003D1B32" w:rsidRPr="00F436F6" w:rsidRDefault="00FC241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..........................</w:t>
      </w:r>
      <w:r w:rsidR="006056F6" w:rsidRPr="00F436F6">
        <w:rPr>
          <w:rFonts w:ascii="Arial Narrow" w:hAnsi="Arial Narrow"/>
          <w:sz w:val="22"/>
          <w:szCs w:val="22"/>
        </w:rPr>
        <w:t>.............................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8856" w14:textId="77777777" w:rsidR="006321DB" w:rsidRDefault="006321DB" w:rsidP="00983CE3">
      <w:r>
        <w:separator/>
      </w:r>
    </w:p>
  </w:endnote>
  <w:endnote w:type="continuationSeparator" w:id="0">
    <w:p w14:paraId="3F8342E3" w14:textId="77777777" w:rsidR="006321DB" w:rsidRDefault="006321DB" w:rsidP="00983CE3">
      <w:r>
        <w:continuationSeparator/>
      </w:r>
    </w:p>
  </w:endnote>
  <w:endnote w:type="continuationNotice" w:id="1">
    <w:p w14:paraId="71D97128" w14:textId="77777777" w:rsidR="006321DB" w:rsidRDefault="00632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2606405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4B2C4C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131D" w14:textId="77777777" w:rsidR="006321DB" w:rsidRDefault="006321DB" w:rsidP="00983CE3">
      <w:r>
        <w:separator/>
      </w:r>
    </w:p>
  </w:footnote>
  <w:footnote w:type="continuationSeparator" w:id="0">
    <w:p w14:paraId="3A3BDEB3" w14:textId="77777777" w:rsidR="006321DB" w:rsidRDefault="006321DB" w:rsidP="00983CE3">
      <w:r>
        <w:continuationSeparator/>
      </w:r>
    </w:p>
  </w:footnote>
  <w:footnote w:type="continuationNotice" w:id="1">
    <w:p w14:paraId="6AD2F723" w14:textId="77777777" w:rsidR="006321DB" w:rsidRDefault="00632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012E" w14:textId="77777777" w:rsidR="00DD6996" w:rsidRDefault="006321DB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D8A0" w14:textId="12345D72" w:rsidR="000D4F91" w:rsidRDefault="006321DB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EE1D6E">
      <w:rPr>
        <w:rFonts w:ascii="Times New Roman" w:hAnsi="Times New Roman"/>
        <w:sz w:val="24"/>
        <w:szCs w:val="24"/>
      </w:rPr>
      <w:t>Príloha č. 2</w:t>
    </w:r>
    <w:r w:rsidR="00B57A27" w:rsidRPr="000D4F91">
      <w:rPr>
        <w:rFonts w:ascii="Times New Roman" w:hAnsi="Times New Roman"/>
        <w:sz w:val="24"/>
        <w:szCs w:val="24"/>
      </w:rPr>
      <w:t xml:space="preserve">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973"/>
    <w:rsid w:val="00047F29"/>
    <w:rsid w:val="00051AB2"/>
    <w:rsid w:val="000524DE"/>
    <w:rsid w:val="00052BBB"/>
    <w:rsid w:val="00054078"/>
    <w:rsid w:val="00063F4E"/>
    <w:rsid w:val="00065DF8"/>
    <w:rsid w:val="000779D1"/>
    <w:rsid w:val="00085D7D"/>
    <w:rsid w:val="0008721E"/>
    <w:rsid w:val="00092962"/>
    <w:rsid w:val="00092E5F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8D8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4033"/>
    <w:rsid w:val="001C7204"/>
    <w:rsid w:val="001D0C05"/>
    <w:rsid w:val="001D117F"/>
    <w:rsid w:val="001D67E7"/>
    <w:rsid w:val="001E174B"/>
    <w:rsid w:val="001F026E"/>
    <w:rsid w:val="001F4EE1"/>
    <w:rsid w:val="001F6F34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222C9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2C4C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07F2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21DB"/>
    <w:rsid w:val="00636CA9"/>
    <w:rsid w:val="0064007D"/>
    <w:rsid w:val="00644E98"/>
    <w:rsid w:val="006459FE"/>
    <w:rsid w:val="006479B1"/>
    <w:rsid w:val="0066319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2132F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137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7F717D"/>
    <w:rsid w:val="00800B13"/>
    <w:rsid w:val="00806255"/>
    <w:rsid w:val="00816278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814AE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851E5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3FFC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C3C"/>
    <w:rsid w:val="00B140C4"/>
    <w:rsid w:val="00B144A2"/>
    <w:rsid w:val="00B15193"/>
    <w:rsid w:val="00B16286"/>
    <w:rsid w:val="00B370BA"/>
    <w:rsid w:val="00B51ABA"/>
    <w:rsid w:val="00B52AB5"/>
    <w:rsid w:val="00B54A2F"/>
    <w:rsid w:val="00B553F1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37E73"/>
    <w:rsid w:val="00C61439"/>
    <w:rsid w:val="00C63B11"/>
    <w:rsid w:val="00C70BFF"/>
    <w:rsid w:val="00C76025"/>
    <w:rsid w:val="00C819A9"/>
    <w:rsid w:val="00C831C6"/>
    <w:rsid w:val="00C84D27"/>
    <w:rsid w:val="00C85957"/>
    <w:rsid w:val="00C907E6"/>
    <w:rsid w:val="00CA0AA3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C1FBF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E67CF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07B2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D4E98F9-5C68-464A-B586-7852E8D482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6DD79B-CB02-482E-AC70-BD857661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3043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2025-10-14T08:00:00Z</dcterms:created>
  <dcterms:modified xsi:type="dcterms:W3CDTF">2025-10-28T08:20:00Z</dcterms:modified>
</cp:coreProperties>
</file>