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167E0E76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E776E9">
        <w:rPr>
          <w:b/>
          <w:sz w:val="24"/>
          <w:szCs w:val="24"/>
        </w:rPr>
        <w:t>Hasičárna Mramotice – výměna vrat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21A5A929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2F1045">
        <w:rPr>
          <w:rFonts w:eastAsia="Calibri" w:cs="Calibri"/>
          <w:b/>
          <w:bCs/>
        </w:rPr>
        <w:t>SNMZ2-2025-00</w:t>
      </w:r>
      <w:r w:rsidR="00E776E9">
        <w:rPr>
          <w:rFonts w:eastAsia="Calibri" w:cs="Calibri"/>
          <w:b/>
          <w:bCs/>
        </w:rPr>
        <w:t>3</w:t>
      </w:r>
      <w:r w:rsidRPr="71248732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4326DB"/>
    <w:rsid w:val="004F60A3"/>
    <w:rsid w:val="00741088"/>
    <w:rsid w:val="009F465B"/>
    <w:rsid w:val="00E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3</cp:revision>
  <dcterms:created xsi:type="dcterms:W3CDTF">2025-09-24T10:26:00Z</dcterms:created>
  <dcterms:modified xsi:type="dcterms:W3CDTF">2025-10-27T11:23:00Z</dcterms:modified>
</cp:coreProperties>
</file>