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43E080D7" w:rsidR="00476AB2" w:rsidRPr="00D54B05" w:rsidRDefault="007A254A" w:rsidP="007A254A">
      <w:pPr>
        <w:pStyle w:val="Default"/>
        <w:jc w:val="center"/>
        <w:rPr>
          <w:rFonts w:ascii="Garamond" w:eastAsia="Arial" w:hAnsi="Garamond" w:cstheme="minorHAnsi"/>
          <w:sz w:val="22"/>
          <w:szCs w:val="22"/>
        </w:rPr>
      </w:pPr>
      <w:r w:rsidRPr="007A254A">
        <w:rPr>
          <w:rFonts w:ascii="Garamond" w:eastAsia="Arial" w:hAnsi="Garamond" w:cstheme="minorHAnsi"/>
          <w:b/>
          <w:sz w:val="22"/>
          <w:szCs w:val="22"/>
        </w:rPr>
        <w:t xml:space="preserve">Zabezpečenie dodávok ovocia a zeleniny pre organizácie BBSK v okrese </w:t>
      </w:r>
      <w:proofErr w:type="spellStart"/>
      <w:r w:rsidR="00D04251">
        <w:rPr>
          <w:rFonts w:ascii="Garamond" w:eastAsia="Arial" w:hAnsi="Garamond" w:cstheme="minorHAnsi"/>
          <w:b/>
          <w:sz w:val="22"/>
          <w:szCs w:val="22"/>
        </w:rPr>
        <w:t>DT</w:t>
      </w:r>
      <w:r w:rsidRPr="007A254A">
        <w:rPr>
          <w:rFonts w:ascii="Garamond" w:eastAsia="Arial" w:hAnsi="Garamond" w:cstheme="minorHAnsi"/>
          <w:b/>
          <w:sz w:val="22"/>
          <w:szCs w:val="22"/>
        </w:rPr>
        <w:t>_Výzva</w:t>
      </w:r>
      <w:proofErr w:type="spellEnd"/>
      <w:r w:rsidRPr="007A254A">
        <w:rPr>
          <w:rFonts w:ascii="Garamond" w:eastAsia="Arial" w:hAnsi="Garamond" w:cstheme="minorHAnsi"/>
          <w:b/>
          <w:sz w:val="22"/>
          <w:szCs w:val="22"/>
        </w:rPr>
        <w:t xml:space="preserve"> č. 13</w:t>
      </w:r>
      <w:r w:rsidR="00D04251">
        <w:rPr>
          <w:rFonts w:ascii="Garamond" w:eastAsia="Arial" w:hAnsi="Garamond" w:cstheme="minorHAnsi"/>
          <w:b/>
          <w:sz w:val="22"/>
          <w:szCs w:val="22"/>
        </w:rPr>
        <w:t>8</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 xml:space="preserve">Centrum zdieľaných služieb BBSK, </w:t>
      </w:r>
      <w:proofErr w:type="spellStart"/>
      <w:r w:rsidRPr="00D54B05">
        <w:rPr>
          <w:rFonts w:ascii="Garamond" w:hAnsi="Garamond" w:cstheme="minorHAnsi"/>
          <w:b/>
          <w:bCs/>
          <w:iCs/>
          <w:sz w:val="22"/>
          <w:szCs w:val="22"/>
        </w:rPr>
        <w:t>s.r.o</w:t>
      </w:r>
      <w:proofErr w:type="spellEnd"/>
      <w:r w:rsidRPr="00D54B05">
        <w:rPr>
          <w:rFonts w:ascii="Garamond" w:hAnsi="Garamond" w:cstheme="minorHAnsi"/>
          <w:b/>
          <w:bCs/>
          <w:iCs/>
          <w:sz w:val="22"/>
          <w:szCs w:val="22"/>
        </w:rPr>
        <w:t>.</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42F87D99"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7A254A">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CZS BBSK, </w:t>
      </w:r>
      <w:proofErr w:type="spellStart"/>
      <w:r w:rsidRPr="00D54B05">
        <w:rPr>
          <w:rFonts w:ascii="Garamond" w:hAnsi="Garamond" w:cstheme="minorHAnsi"/>
          <w:iCs/>
          <w:sz w:val="22"/>
          <w:szCs w:val="22"/>
        </w:rPr>
        <w:t>s.r.o</w:t>
      </w:r>
      <w:proofErr w:type="spellEnd"/>
      <w:r w:rsidRPr="00D54B05">
        <w:rPr>
          <w:rFonts w:ascii="Garamond" w:hAnsi="Garamond" w:cstheme="minorHAnsi"/>
          <w:iCs/>
          <w:sz w:val="22"/>
          <w:szCs w:val="22"/>
        </w:rPr>
        <w:t>.</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36C84AB3" w14:textId="668886C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Predmetom zákazky je dodávka </w:t>
      </w:r>
      <w:r w:rsidR="003C0390" w:rsidRPr="003C0390">
        <w:rPr>
          <w:rFonts w:ascii="Garamond" w:hAnsi="Garamond" w:cstheme="minorHAnsi"/>
          <w:bCs/>
          <w:sz w:val="22"/>
          <w:szCs w:val="22"/>
        </w:rPr>
        <w:t xml:space="preserve">ovocia a zeleniny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w:t>
      </w:r>
    </w:p>
    <w:p w14:paraId="3CE6843A" w14:textId="44069AC5"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Predmetom zákazky je dodávka </w:t>
      </w:r>
      <w:r w:rsidR="003C0390">
        <w:rPr>
          <w:rFonts w:ascii="Garamond" w:hAnsi="Garamond" w:cstheme="minorHAnsi"/>
          <w:bCs/>
          <w:sz w:val="22"/>
          <w:szCs w:val="22"/>
        </w:rPr>
        <w:t xml:space="preserve">ovocia a </w:t>
      </w:r>
      <w:r w:rsidR="000924B1">
        <w:rPr>
          <w:rFonts w:ascii="Garamond" w:hAnsi="Garamond" w:cstheme="minorHAnsi"/>
          <w:bCs/>
          <w:sz w:val="22"/>
          <w:szCs w:val="22"/>
        </w:rPr>
        <w:t>zeleniny</w:t>
      </w:r>
      <w:r w:rsidRPr="00D54B05">
        <w:rPr>
          <w:rFonts w:ascii="Garamond" w:hAnsi="Garamond" w:cstheme="minorHAnsi"/>
          <w:bCs/>
          <w:sz w:val="22"/>
          <w:szCs w:val="22"/>
        </w:rPr>
        <w:t xml:space="preserve"> v predpokladanom množstve uvedenom v systéme </w:t>
      </w:r>
      <w:proofErr w:type="spellStart"/>
      <w:r w:rsidRPr="00D54B05">
        <w:rPr>
          <w:rFonts w:ascii="Garamond" w:hAnsi="Garamond" w:cstheme="minorHAnsi"/>
          <w:bCs/>
          <w:sz w:val="22"/>
          <w:szCs w:val="22"/>
        </w:rPr>
        <w:t>Josephine</w:t>
      </w:r>
      <w:proofErr w:type="spellEnd"/>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3E8FCF1"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 zákazky bude dodávaný od nadobudnutia účinnosti zml</w:t>
      </w:r>
      <w:r w:rsidR="003C0390">
        <w:rPr>
          <w:rFonts w:ascii="Garamond" w:hAnsi="Garamond" w:cstheme="minorHAnsi"/>
          <w:bCs/>
          <w:sz w:val="22"/>
          <w:szCs w:val="22"/>
        </w:rPr>
        <w:t>uvy od</w:t>
      </w:r>
      <w:r w:rsidR="007A254A">
        <w:rPr>
          <w:rFonts w:ascii="Garamond" w:hAnsi="Garamond" w:cstheme="minorHAnsi"/>
          <w:bCs/>
          <w:sz w:val="22"/>
          <w:szCs w:val="22"/>
        </w:rPr>
        <w:t xml:space="preserve"> 1.1.2026</w:t>
      </w:r>
      <w:r w:rsidRPr="00D54B05">
        <w:rPr>
          <w:rFonts w:ascii="Garamond" w:hAnsi="Garamond" w:cstheme="minorHAnsi"/>
          <w:bCs/>
          <w:sz w:val="22"/>
          <w:szCs w:val="22"/>
        </w:rPr>
        <w:t xml:space="preserve"> do 31.12.2026.</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Pr="00D54B05"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 xml:space="preserve">Centrum zdieľaných služieb BBSK, </w:t>
      </w:r>
      <w:proofErr w:type="spellStart"/>
      <w:r w:rsidRPr="00D54B05">
        <w:rPr>
          <w:rFonts w:ascii="Garamond" w:eastAsia="Calibri" w:hAnsi="Garamond" w:cstheme="minorHAnsi"/>
          <w:sz w:val="22"/>
          <w:szCs w:val="22"/>
        </w:rPr>
        <w:t>s.r.o</w:t>
      </w:r>
      <w:proofErr w:type="spellEnd"/>
      <w:r w:rsidRPr="00D54B05">
        <w:rPr>
          <w:rFonts w:ascii="Garamond" w:eastAsia="Calibri" w:hAnsi="Garamond" w:cstheme="minorHAnsi"/>
          <w:sz w:val="22"/>
          <w:szCs w:val="22"/>
        </w:rPr>
        <w:t>. ako centrálny verejný obstarávateľ uzavrie rámcovú zmluvu, táto zmluva sa vzťahuje aj na Tretie osoby, Zoznam Tretích osôb tvorí prílohu č. 2 Súťažných podkladov.</w:t>
      </w:r>
    </w:p>
    <w:p w14:paraId="4E2A8DDA" w14:textId="77777777" w:rsidR="00476AB2" w:rsidRPr="00D54B05" w:rsidRDefault="00476AB2" w:rsidP="00476AB2">
      <w:pPr>
        <w:jc w:val="both"/>
        <w:rPr>
          <w:rFonts w:ascii="Garamond" w:hAnsi="Garamond" w:cstheme="minorHAnsi"/>
          <w:bCs/>
          <w:sz w:val="22"/>
          <w:szCs w:val="22"/>
        </w:rPr>
      </w:pPr>
    </w:p>
    <w:p w14:paraId="5190D5F0" w14:textId="17846068"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D04251">
        <w:rPr>
          <w:rFonts w:ascii="Garamond" w:hAnsi="Garamond" w:cstheme="minorHAnsi"/>
          <w:b/>
          <w:sz w:val="22"/>
          <w:szCs w:val="22"/>
        </w:rPr>
        <w:t>22</w:t>
      </w:r>
      <w:r w:rsidRPr="007A254A">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07138DCD"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 xml:space="preserve">pre </w:t>
      </w:r>
      <w:r w:rsidR="000A47C3">
        <w:rPr>
          <w:rFonts w:ascii="Garamond" w:hAnsi="Garamond" w:cstheme="minorHAnsi"/>
          <w:b/>
          <w:sz w:val="22"/>
          <w:szCs w:val="22"/>
        </w:rPr>
        <w:t xml:space="preserve">okres </w:t>
      </w:r>
      <w:r w:rsidR="00D04251">
        <w:rPr>
          <w:rFonts w:ascii="Garamond" w:hAnsi="Garamond" w:cstheme="minorHAnsi"/>
          <w:b/>
          <w:sz w:val="22"/>
          <w:szCs w:val="22"/>
        </w:rPr>
        <w:t>Detva</w:t>
      </w:r>
      <w:r w:rsidR="00D13B56">
        <w:rPr>
          <w:rFonts w:ascii="Garamond" w:hAnsi="Garamond" w:cstheme="minorHAnsi"/>
          <w:b/>
          <w:sz w:val="22"/>
          <w:szCs w:val="22"/>
        </w:rPr>
        <w:t>s</w:t>
      </w:r>
      <w:r w:rsidR="000A47C3">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w:t>
      </w:r>
      <w:r w:rsidR="000A47C3">
        <w:rPr>
          <w:rFonts w:ascii="Garamond" w:hAnsi="Garamond" w:cstheme="minorHAnsi"/>
          <w:bCs/>
          <w:sz w:val="22"/>
          <w:szCs w:val="22"/>
        </w:rPr>
        <w:t>všetkých</w:t>
      </w:r>
      <w:r w:rsidRPr="00D54B05">
        <w:rPr>
          <w:rFonts w:ascii="Garamond" w:hAnsi="Garamond" w:cstheme="minorHAnsi"/>
          <w:bCs/>
          <w:sz w:val="22"/>
          <w:szCs w:val="22"/>
        </w:rPr>
        <w:t xml:space="preserve">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lastRenderedPageBreak/>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informácie zaradený záujemca, tak po prihlásení do systému a predmetnej zákazky môže prostredníctvom komunikačného rozhrania odosielať správy a potrebné prílohy verejnému </w:t>
      </w:r>
      <w:r w:rsidRPr="00D54B05">
        <w:rPr>
          <w:rFonts w:ascii="Garamond" w:hAnsi="Garamond" w:cstheme="minorHAnsi"/>
          <w:sz w:val="22"/>
          <w:szCs w:val="22"/>
        </w:rPr>
        <w:lastRenderedPageBreak/>
        <w:t>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w:t>
      </w:r>
      <w:r w:rsidRPr="00D54B05">
        <w:rPr>
          <w:rFonts w:ascii="Garamond" w:hAnsi="Garamond" w:cstheme="minorHAnsi"/>
          <w:sz w:val="22"/>
          <w:szCs w:val="22"/>
        </w:rPr>
        <w:lastRenderedPageBreak/>
        <w:t>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87C5" w14:textId="77777777" w:rsidR="0048489E" w:rsidRDefault="0048489E" w:rsidP="00014285">
      <w:r>
        <w:separator/>
      </w:r>
    </w:p>
  </w:endnote>
  <w:endnote w:type="continuationSeparator" w:id="0">
    <w:p w14:paraId="499F0EA4" w14:textId="77777777" w:rsidR="0048489E" w:rsidRDefault="0048489E"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4F4D" w14:textId="77777777" w:rsidR="0048489E" w:rsidRDefault="0048489E" w:rsidP="00014285">
      <w:r>
        <w:separator/>
      </w:r>
    </w:p>
  </w:footnote>
  <w:footnote w:type="continuationSeparator" w:id="0">
    <w:p w14:paraId="024F11F1" w14:textId="77777777" w:rsidR="0048489E" w:rsidRDefault="0048489E"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64D87"/>
    <w:rsid w:val="00090693"/>
    <w:rsid w:val="000924B1"/>
    <w:rsid w:val="00092A6E"/>
    <w:rsid w:val="000A47C3"/>
    <w:rsid w:val="00133092"/>
    <w:rsid w:val="00140701"/>
    <w:rsid w:val="00142A6B"/>
    <w:rsid w:val="00151ED6"/>
    <w:rsid w:val="001B217E"/>
    <w:rsid w:val="001C42C4"/>
    <w:rsid w:val="001E6AE2"/>
    <w:rsid w:val="00266AD4"/>
    <w:rsid w:val="00383979"/>
    <w:rsid w:val="003C0390"/>
    <w:rsid w:val="004352FA"/>
    <w:rsid w:val="00450093"/>
    <w:rsid w:val="00476AB2"/>
    <w:rsid w:val="0048489E"/>
    <w:rsid w:val="0048762A"/>
    <w:rsid w:val="00494CA6"/>
    <w:rsid w:val="00511806"/>
    <w:rsid w:val="005430C6"/>
    <w:rsid w:val="005846B8"/>
    <w:rsid w:val="005A2B4D"/>
    <w:rsid w:val="00626A72"/>
    <w:rsid w:val="006421FE"/>
    <w:rsid w:val="00642545"/>
    <w:rsid w:val="0064479A"/>
    <w:rsid w:val="00664B3A"/>
    <w:rsid w:val="00692EE4"/>
    <w:rsid w:val="006F2505"/>
    <w:rsid w:val="007113D0"/>
    <w:rsid w:val="00711C1C"/>
    <w:rsid w:val="00791188"/>
    <w:rsid w:val="007A254A"/>
    <w:rsid w:val="007C1411"/>
    <w:rsid w:val="007C42D4"/>
    <w:rsid w:val="007D329E"/>
    <w:rsid w:val="0084599B"/>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54115"/>
    <w:rsid w:val="00CE3B53"/>
    <w:rsid w:val="00D04251"/>
    <w:rsid w:val="00D13001"/>
    <w:rsid w:val="00D13B56"/>
    <w:rsid w:val="00D34977"/>
    <w:rsid w:val="00D66C56"/>
    <w:rsid w:val="00DC19A1"/>
    <w:rsid w:val="00DF6975"/>
    <w:rsid w:val="00E10158"/>
    <w:rsid w:val="00E44644"/>
    <w:rsid w:val="00E56830"/>
    <w:rsid w:val="00E65405"/>
    <w:rsid w:val="00E776FD"/>
    <w:rsid w:val="00EA1079"/>
    <w:rsid w:val="00ED2F90"/>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AEBDC0764E728488765CC7F97ABB7F6" ma:contentTypeVersion="3" ma:contentTypeDescription="Umožňuje vytvoriť nový dokument." ma:contentTypeScope="" ma:versionID="91e4f368a3f82566dc3b79cf44a691f1">
  <xsd:schema xmlns:xsd="http://www.w3.org/2001/XMLSchema" xmlns:xs="http://www.w3.org/2001/XMLSchema" xmlns:p="http://schemas.microsoft.com/office/2006/metadata/properties" xmlns:ns2="995529ba-85d1-4554-8ec1-914d586b607e" targetNamespace="http://schemas.microsoft.com/office/2006/metadata/properties" ma:root="true" ma:fieldsID="4f2345d3ff127c60b4df84e43f517746" ns2:_="">
    <xsd:import namespace="995529ba-85d1-4554-8ec1-914d586b60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29ba-85d1-4554-8ec1-914d586b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3.xml><?xml version="1.0" encoding="utf-8"?>
<ds:datastoreItem xmlns:ds="http://schemas.openxmlformats.org/officeDocument/2006/customXml" ds:itemID="{22F42FB6-5C66-4866-973F-99C2801F9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29ba-85d1-4554-8ec1-914d586b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00616-E1BC-48E6-B1EF-59D105409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2760</Words>
  <Characters>15733</Characters>
  <Application>Microsoft Office Word</Application>
  <DocSecurity>0</DocSecurity>
  <Lines>131</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6</cp:revision>
  <cp:lastPrinted>2025-10-01T12:49:00Z</cp:lastPrinted>
  <dcterms:created xsi:type="dcterms:W3CDTF">2025-11-03T15:00:00Z</dcterms:created>
  <dcterms:modified xsi:type="dcterms:W3CDTF">2025-11-04T12:06:00Z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0x0101009AEBDC0764E728488765CC7F97ABB7F6</vt:lpwstr>
  </property>
  <property fmtid="{D5CDD505-2E9C-101B-9397-08002B2CF9AE}" pid="3" name="MediaServiceImageTags">
    <vt:lpwstr/>
  </property>
</Properties>
</file>