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1BB0D99C"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w:t>
      </w:r>
      <w:proofErr w:type="spellStart"/>
      <w:r w:rsidR="1439AECF" w:rsidRPr="00582CE6">
        <w:rPr>
          <w:rFonts w:ascii="Times New Roman" w:eastAsia="Times New Roman" w:hAnsi="Times New Roman" w:cs="Times New Roman"/>
          <w:lang w:val="sk-SK"/>
        </w:rPr>
        <w:t>Podzhotoviteľ</w:t>
      </w:r>
      <w:proofErr w:type="spellEnd"/>
      <w:r w:rsidR="06A05DAE" w:rsidRPr="00582CE6">
        <w:rPr>
          <w:rFonts w:ascii="Times New Roman" w:eastAsia="Times New Roman" w:hAnsi="Times New Roman" w:cs="Times New Roman"/>
          <w:lang w:val="sk-SK"/>
        </w:rPr>
        <w:t xml:space="preserve"> alebo subdodávateľ</w:t>
      </w:r>
      <w:r w:rsidR="1439AECF" w:rsidRPr="00582CE6">
        <w:rPr>
          <w:rFonts w:ascii="Times New Roman" w:eastAsia="Times New Roman" w:hAnsi="Times New Roman" w:cs="Times New Roman"/>
          <w:lang w:val="sk-SK"/>
        </w:rPr>
        <w:t xml:space="preserve"> 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Vložte novú definíciu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w:t>
      </w:r>
    </w:p>
    <w:p w14:paraId="307A2ADE" w14:textId="1DE759A3"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w:t>
      </w:r>
      <w:r w:rsidR="2852A50F" w:rsidRPr="00582CE6">
        <w:rPr>
          <w:rFonts w:ascii="Times New Roman" w:eastAsia="Times New Roman" w:hAnsi="Times New Roman" w:cs="Times New Roman"/>
          <w:lang w:val="sk-SK"/>
        </w:rPr>
        <w:t xml:space="preserve">alebo priamy subdodávateľ </w:t>
      </w:r>
      <w:r w:rsidRPr="00582CE6">
        <w:rPr>
          <w:rFonts w:ascii="Times New Roman" w:eastAsia="Times New Roman" w:hAnsi="Times New Roman" w:cs="Times New Roman"/>
          <w:lang w:val="sk-SK"/>
        </w:rPr>
        <w:t xml:space="preserve">je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41552844"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1.1.2.9</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„Dodávateľ Zhotoviteľa“ znamená fyzickú alebo právnickú osobu v priamom zmluvnom vzťahu so Zhotoviteľom, ktorú nie je možné subsumovať pod pojem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alebo Priamy </w:t>
      </w:r>
      <w:proofErr w:type="spellStart"/>
      <w:r w:rsidRPr="00582CE6">
        <w:rPr>
          <w:rFonts w:ascii="Times New Roman" w:eastAsia="Times New Roman" w:hAnsi="Times New Roman" w:cs="Times New Roman"/>
          <w:lang w:val="sk-SK"/>
        </w:rPr>
        <w:t>Podzhotoviteľ</w:t>
      </w:r>
      <w:proofErr w:type="spellEnd"/>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2915F57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1.1.2.1</w:t>
      </w:r>
      <w:r w:rsidR="00DB76F0" w:rsidRPr="00582CE6">
        <w:rPr>
          <w:rFonts w:ascii="Times New Roman" w:eastAsia="Times New Roman" w:hAnsi="Times New Roman" w:cs="Times New Roman"/>
          <w:b/>
          <w:bCs/>
          <w:lang w:val="sk-SK"/>
        </w:rPr>
        <w:t>1</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0447E320"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„Právne predpisy 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206DE6EA"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výrubu stromov,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462F9C6F"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je povinný zaznamenávať denne informácie o výrobnom čísle a/alebo EČV vozidla a/alebo zariadenia do Stavebného denníka. 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3A19F9B" w:rsidR="00556E6D" w:rsidRPr="0015521A"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 xml:space="preserve">Priamy </w:t>
      </w:r>
      <w:proofErr w:type="spellStart"/>
      <w:r w:rsidRPr="00582CE6">
        <w:rPr>
          <w:rFonts w:ascii="Times New Roman" w:eastAsia="Times New Roman" w:hAnsi="Times New Roman" w:cs="Times New Roman"/>
          <w:b/>
          <w:bCs/>
          <w:lang w:val="sk-SK"/>
        </w:rPr>
        <w:t>Podzhotoviteľ</w:t>
      </w:r>
      <w:proofErr w:type="spellEnd"/>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Priameho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7052100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V prípade neplnenia si finančných záväzkov Zhotoviteľa voči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xml:space="preserve">, Dodávateľom Zhotoviteľa a dodávateľom materiálu,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dodávateľov materiálu.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dodávateľmi materiálu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77777777"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 a dodávateľmi materiálu.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akúkoľvek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a Dodávateľom 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a Dodávateľovi Zhotoviteľa podľa odseku b) tohto článku  písomne Zhotoviteľovi neoznámi, či schvaľuje alebo zamieta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Ak Stavebný dozor zamietne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je Zhotoviteľ povinný zmluvu </w:t>
      </w:r>
      <w:r w:rsidRPr="00421F4B">
        <w:rPr>
          <w:rFonts w:ascii="Times New Roman" w:eastAsia="Times New Roman" w:hAnsi="Times New Roman" w:cs="Times New Roman"/>
          <w:lang w:val="sk-SK"/>
        </w:rPr>
        <w:lastRenderedPageBreak/>
        <w:t xml:space="preserve">plniť pôvodným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 xml:space="preserve">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Dodávateľom Zhotoviteľa alebo prostredníctvom vlastných zdrojov. Proces schvaľovania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lastRenderedPageBreak/>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lastRenderedPageBreak/>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výrazné 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lastRenderedPageBreak/>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w:t>
      </w:r>
      <w:r w:rsidRPr="00582CE6">
        <w:rPr>
          <w:rFonts w:ascii="Times New Roman" w:hAnsi="Times New Roman" w:cs="Times New Roman"/>
          <w:lang w:val="sk-SK"/>
        </w:rPr>
        <w:lastRenderedPageBreak/>
        <w:t xml:space="preserve">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lastRenderedPageBreak/>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w:t>
      </w:r>
      <w:r w:rsidRPr="00582CE6">
        <w:rPr>
          <w:rFonts w:ascii="Times New Roman" w:hAnsi="Times New Roman" w:cs="Times New Roman"/>
          <w:lang w:val="sk-SK"/>
        </w:rPr>
        <w:lastRenderedPageBreak/>
        <w:t xml:space="preserve">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lastRenderedPageBreak/>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v hrúbke min. 3,3 m na opore č. 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E2255F" w:rsidR="005033FC" w:rsidRPr="00580335"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color w:val="FF0000"/>
          <w:sz w:val="21"/>
          <w:szCs w:val="21"/>
          <w:lang w:val="sk-SK"/>
        </w:rPr>
      </w:pPr>
      <w:bookmarkStart w:id="0" w:name="_GoBack"/>
      <w:r w:rsidRPr="00580335">
        <w:rPr>
          <w:rFonts w:ascii="Times New Roman" w:eastAsia="Arial" w:hAnsi="Times New Roman" w:cs="Times New Roman"/>
          <w:color w:val="FF0000"/>
          <w:sz w:val="21"/>
          <w:szCs w:val="21"/>
          <w:lang w:val="sk-SK"/>
        </w:rPr>
        <w:t xml:space="preserve">SO 51-33-01 </w:t>
      </w:r>
      <w:r w:rsidR="00621DE7" w:rsidRPr="00580335">
        <w:rPr>
          <w:rFonts w:ascii="Times New Roman" w:eastAsia="Arial" w:hAnsi="Times New Roman" w:cs="Times New Roman"/>
          <w:color w:val="FF0000"/>
          <w:sz w:val="21"/>
          <w:szCs w:val="21"/>
          <w:lang w:val="sk-SK"/>
        </w:rPr>
        <w:t xml:space="preserve">bude zrealizované hlbinné zakladanie </w:t>
      </w:r>
      <w:proofErr w:type="spellStart"/>
      <w:r w:rsidR="00621DE7" w:rsidRPr="00580335">
        <w:rPr>
          <w:rFonts w:ascii="Times New Roman" w:eastAsia="Arial" w:hAnsi="Times New Roman" w:cs="Times New Roman"/>
          <w:color w:val="FF0000"/>
          <w:sz w:val="21"/>
          <w:szCs w:val="21"/>
          <w:lang w:val="sk-SK"/>
        </w:rPr>
        <w:t>veľkopriemerových</w:t>
      </w:r>
      <w:proofErr w:type="spellEnd"/>
      <w:r w:rsidR="00621DE7" w:rsidRPr="00580335">
        <w:rPr>
          <w:rFonts w:ascii="Times New Roman" w:eastAsia="Arial" w:hAnsi="Times New Roman" w:cs="Times New Roman"/>
          <w:color w:val="FF0000"/>
          <w:sz w:val="21"/>
          <w:szCs w:val="21"/>
          <w:lang w:val="sk-SK"/>
        </w:rPr>
        <w:t xml:space="preserve"> </w:t>
      </w:r>
      <w:bookmarkEnd w:id="0"/>
      <w:proofErr w:type="spellStart"/>
      <w:r w:rsidR="00621DE7" w:rsidRPr="00580335">
        <w:rPr>
          <w:rFonts w:ascii="Times New Roman" w:eastAsia="Arial" w:hAnsi="Times New Roman" w:cs="Times New Roman"/>
          <w:color w:val="FF0000"/>
          <w:sz w:val="21"/>
          <w:szCs w:val="21"/>
          <w:lang w:val="sk-SK"/>
        </w:rPr>
        <w:t>pilótoch</w:t>
      </w:r>
      <w:proofErr w:type="spellEnd"/>
      <w:r w:rsidR="00621DE7" w:rsidRPr="00580335">
        <w:rPr>
          <w:rFonts w:ascii="Times New Roman" w:eastAsia="Arial" w:hAnsi="Times New Roman" w:cs="Times New Roman"/>
          <w:color w:val="FF0000"/>
          <w:sz w:val="21"/>
          <w:szCs w:val="21"/>
          <w:lang w:val="sk-SK"/>
        </w:rPr>
        <w:t xml:space="preserve"> priemeru 900 mm</w:t>
      </w:r>
      <w:r w:rsidR="00237F65" w:rsidRPr="00580335">
        <w:rPr>
          <w:rFonts w:ascii="Times New Roman" w:eastAsia="Arial" w:hAnsi="Times New Roman" w:cs="Times New Roman"/>
          <w:color w:val="FF0000"/>
          <w:sz w:val="21"/>
          <w:szCs w:val="21"/>
          <w:lang w:val="sk-SK"/>
        </w:rPr>
        <w:t xml:space="preserve"> základov č. 4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SO 50-33-01 bude zrealizovaná spodná stavba – opora č. 1 a č. 4, piliere č. 2 </w:t>
      </w:r>
      <w:r w:rsidRPr="00582CE6">
        <w:rPr>
          <w:rFonts w:ascii="Times New Roman" w:eastAsia="Arial" w:hAnsi="Times New Roman" w:cs="Times New Roman"/>
          <w:sz w:val="21"/>
          <w:szCs w:val="21"/>
          <w:lang w:val="sk-SK"/>
        </w:rPr>
        <w:lastRenderedPageBreak/>
        <w:t>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40D97DD6" w:rsidR="00215E03" w:rsidRPr="00582CE6" w:rsidRDefault="3FA91D21"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6C4F44AB" w:rsidRPr="00582CE6">
        <w:rPr>
          <w:rFonts w:ascii="Times New Roman" w:eastAsia="Arial" w:hAnsi="Times New Roman" w:cs="Times New Roman"/>
          <w:sz w:val="21"/>
          <w:szCs w:val="21"/>
          <w:lang w:val="sk-SK"/>
        </w:rPr>
        <w:t>4</w:t>
      </w:r>
      <w:r w:rsidRPr="00582CE6">
        <w:rPr>
          <w:rFonts w:ascii="Times New Roman" w:eastAsia="Arial" w:hAnsi="Times New Roman" w:cs="Times New Roman"/>
          <w:sz w:val="21"/>
          <w:szCs w:val="21"/>
          <w:lang w:val="sk-SK"/>
        </w:rPr>
        <w:t xml:space="preserve"> </w:t>
      </w:r>
      <w:r w:rsidR="00215E03" w:rsidRPr="00582CE6">
        <w:rPr>
          <w:rFonts w:ascii="Times New Roman" w:eastAsia="Arial" w:hAnsi="Times New Roman" w:cs="Times New Roman"/>
          <w:sz w:val="21"/>
          <w:szCs w:val="21"/>
          <w:lang w:val="sk-SK"/>
        </w:rPr>
        <w:t>Do 600 dní</w:t>
      </w:r>
      <w:r w:rsidR="00DF0672" w:rsidRPr="00582CE6">
        <w:rPr>
          <w:rFonts w:ascii="Times New Roman" w:eastAsia="Arial" w:hAnsi="Times New Roman" w:cs="Times New Roman"/>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4454C8EA" w14:textId="43BA7147" w:rsidR="002E2907" w:rsidRPr="009239EA" w:rsidRDefault="7075FB25" w:rsidP="009239EA">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3AFDC1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taktiež povinný pripraviť a s Ponukou predložiť Fakturačný harmonogram zosúladený s vecným Harmonogramom v číselnom vyjadrení a členení po jednotlivých etapách výstavby na úrovni stoky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w:t>
      </w:r>
      <w:r w:rsidRPr="00582CE6">
        <w:rPr>
          <w:rFonts w:ascii="Times New Roman" w:hAnsi="Times New Roman" w:cs="Times New Roman"/>
          <w:lang w:val="sk-SK"/>
        </w:rPr>
        <w:lastRenderedPageBreak/>
        <w:t xml:space="preserve">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lastRenderedPageBreak/>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1" w:name="_Hlk53918047"/>
      <w:r w:rsidRPr="00582CE6">
        <w:rPr>
          <w:rFonts w:ascii="Times New Roman" w:hAnsi="Times New Roman" w:cs="Times New Roman"/>
          <w:b/>
          <w:spacing w:val="-2"/>
          <w:lang w:val="sk-SK"/>
        </w:rPr>
        <w:lastRenderedPageBreak/>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1"/>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dôjde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túto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začne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nová</w:t>
      </w:r>
      <w:r w:rsidRPr="00582CE6">
        <w:rPr>
          <w:rFonts w:ascii="Times New Roman" w:hAnsi="Times New Roman" w:cs="Times New Roman"/>
          <w:spacing w:val="-1"/>
          <w:lang w:val="sk-SK"/>
        </w:rPr>
        <w:t xml:space="preserve"> Záručná</w:t>
      </w:r>
      <w:r w:rsidRPr="00582CE6">
        <w:rPr>
          <w:rFonts w:ascii="Times New Roman" w:hAnsi="Times New Roman" w:cs="Times New Roman"/>
          <w:spacing w:val="-2"/>
          <w:lang w:val="sk-SK"/>
        </w:rPr>
        <w:t xml:space="preserve"> doba.</w:t>
      </w:r>
    </w:p>
    <w:p w14:paraId="777F4605" w14:textId="77777777" w:rsidR="009E048E" w:rsidRPr="00582CE6" w:rsidRDefault="009E048E" w:rsidP="000C7944">
      <w:pPr>
        <w:widowControl w:val="0"/>
        <w:suppressAutoHyphens/>
        <w:rPr>
          <w:rFonts w:ascii="Times New Roman" w:eastAsia="Arial" w:hAnsi="Times New Roman" w:cs="Times New Roman"/>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lastRenderedPageBreak/>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lastRenderedPageBreak/>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lastRenderedPageBreak/>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A190AF8"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5353CC" w:rsidRPr="00582CE6">
        <w:rPr>
          <w:rFonts w:ascii="Times New Roman" w:hAnsi="Times New Roman" w:cs="Times New Roman"/>
          <w:lang w:val="sk-SK"/>
        </w:rPr>
        <w:t>lebo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výsledky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kontrol</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uskutočnených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subjektmi</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neumožnia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finacovanie</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predmetu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Zmluvy.</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CD7412" w16cex:dateUtc="2020-07-30T14:30:00Z"/>
  <w16cex:commentExtensible w16cex:durableId="22CE7826" w16cex:dateUtc="2020-07-31T08:59:00Z"/>
  <w16cex:commentExtensible w16cex:durableId="22CE7AB4" w16cex:dateUtc="2020-07-31T09:10:00Z"/>
  <w16cex:commentExtensible w16cex:durableId="22CE97FF" w16cex:dateUtc="2020-07-31T11:15:00Z"/>
  <w16cex:commentExtensible w16cex:durableId="22CEA605" w16cex:dateUtc="2020-07-31T12:15:00Z"/>
  <w16cex:commentExtensible w16cex:durableId="22CEA8D0" w16cex:dateUtc="2020-07-31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85389" w14:textId="77777777" w:rsidR="009E4724" w:rsidRDefault="009E4724">
      <w:r>
        <w:separator/>
      </w:r>
    </w:p>
  </w:endnote>
  <w:endnote w:type="continuationSeparator" w:id="0">
    <w:p w14:paraId="0ABB6BFF" w14:textId="77777777" w:rsidR="009E4724" w:rsidRDefault="009E4724">
      <w:r>
        <w:continuationSeparator/>
      </w:r>
    </w:p>
  </w:endnote>
  <w:endnote w:type="continuationNotice" w:id="1">
    <w:p w14:paraId="2C4CA561" w14:textId="77777777" w:rsidR="009E4724" w:rsidRDefault="009E4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9096" w14:textId="564E0880" w:rsidR="00580335" w:rsidRPr="000C7944" w:rsidRDefault="00580335"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FAC73" w14:textId="77777777" w:rsidR="009E4724" w:rsidRDefault="009E4724">
      <w:r>
        <w:separator/>
      </w:r>
    </w:p>
  </w:footnote>
  <w:footnote w:type="continuationSeparator" w:id="0">
    <w:p w14:paraId="2AFFC48E" w14:textId="77777777" w:rsidR="009E4724" w:rsidRDefault="009E4724">
      <w:r>
        <w:continuationSeparator/>
      </w:r>
    </w:p>
  </w:footnote>
  <w:footnote w:type="continuationNotice" w:id="1">
    <w:p w14:paraId="5789C3D1" w14:textId="77777777" w:rsidR="009E4724" w:rsidRDefault="009E4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1718" w14:textId="77777777" w:rsidR="00580335" w:rsidRPr="004D7FED" w:rsidRDefault="00580335"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580335" w:rsidRDefault="005803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B2C"/>
    <w:rsid w:val="00167D94"/>
    <w:rsid w:val="001753D8"/>
    <w:rsid w:val="0018488B"/>
    <w:rsid w:val="001920C2"/>
    <w:rsid w:val="001A06E8"/>
    <w:rsid w:val="001A78C4"/>
    <w:rsid w:val="001B07FF"/>
    <w:rsid w:val="001B4BDE"/>
    <w:rsid w:val="001C0E6A"/>
    <w:rsid w:val="001C5CFC"/>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84763"/>
    <w:rsid w:val="00484C7F"/>
    <w:rsid w:val="004A041E"/>
    <w:rsid w:val="004A4711"/>
    <w:rsid w:val="004A5FB8"/>
    <w:rsid w:val="004B2136"/>
    <w:rsid w:val="004C138F"/>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366E"/>
    <w:rsid w:val="0057305E"/>
    <w:rsid w:val="0057418E"/>
    <w:rsid w:val="00580335"/>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7CF4"/>
    <w:rsid w:val="006C3146"/>
    <w:rsid w:val="006C5323"/>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239EA"/>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A6903"/>
    <w:rsid w:val="009B3F8C"/>
    <w:rsid w:val="009C282B"/>
    <w:rsid w:val="009C3A28"/>
    <w:rsid w:val="009D1EFD"/>
    <w:rsid w:val="009E048E"/>
    <w:rsid w:val="009E4724"/>
    <w:rsid w:val="009E58C7"/>
    <w:rsid w:val="009F5D9E"/>
    <w:rsid w:val="00A05B29"/>
    <w:rsid w:val="00A146A0"/>
    <w:rsid w:val="00A214E4"/>
    <w:rsid w:val="00A26D7A"/>
    <w:rsid w:val="00A30A98"/>
    <w:rsid w:val="00A310C4"/>
    <w:rsid w:val="00A32516"/>
    <w:rsid w:val="00A350FA"/>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48B5"/>
    <w:rsid w:val="00BA00DF"/>
    <w:rsid w:val="00BA4954"/>
    <w:rsid w:val="00BA6F6A"/>
    <w:rsid w:val="00BB6028"/>
    <w:rsid w:val="00BB6870"/>
    <w:rsid w:val="00BC36BB"/>
    <w:rsid w:val="00BD2D95"/>
    <w:rsid w:val="00BD3F9F"/>
    <w:rsid w:val="00BE04FE"/>
    <w:rsid w:val="00BF79E9"/>
    <w:rsid w:val="00C00529"/>
    <w:rsid w:val="00C11EFF"/>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51C0"/>
    <w:rsid w:val="00D56415"/>
    <w:rsid w:val="00D60664"/>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14AF9"/>
    <w:rsid w:val="00E1727A"/>
    <w:rsid w:val="00E32ED7"/>
    <w:rsid w:val="00E33AAD"/>
    <w:rsid w:val="00E3507D"/>
    <w:rsid w:val="00E449AA"/>
    <w:rsid w:val="00E44D36"/>
    <w:rsid w:val="00E51DDC"/>
    <w:rsid w:val="00E71A9D"/>
    <w:rsid w:val="00E739AD"/>
    <w:rsid w:val="00E81D7F"/>
    <w:rsid w:val="00E872E1"/>
    <w:rsid w:val="00E94F65"/>
    <w:rsid w:val="00EA181E"/>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357D"/>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29</Pages>
  <Words>12346</Words>
  <Characters>70373</Characters>
  <Application>Microsoft Office Word</Application>
  <DocSecurity>0</DocSecurity>
  <Lines>586</Lines>
  <Paragraphs>165</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18</cp:revision>
  <cp:lastPrinted>2020-08-04T22:56:00Z</cp:lastPrinted>
  <dcterms:created xsi:type="dcterms:W3CDTF">2020-09-21T04:53:00Z</dcterms:created>
  <dcterms:modified xsi:type="dcterms:W3CDTF">2020-11-26T10:32:00Z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