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D47B77"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D47B77"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D47B77"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D47B77"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D47B77"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D47B77"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D47B77"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D47B77"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D47B77"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D47B77"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D47B77"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D47B77"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D47B77"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D47B77"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D47B77"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D47B77"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D47B77"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D47B77"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D47B77"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D47B77"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D47B77"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D47B77"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D47B77"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D47B77"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D47B77"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D47B77"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D47B77"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D47B77"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D47B77"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0FAB63F2"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w:t>
      </w:r>
      <w:r w:rsidR="00F80469">
        <w:rPr>
          <w:rFonts w:ascii="Times New Roman" w:hAnsi="Times New Roman" w:cs="Times New Roman"/>
          <w:sz w:val="24"/>
          <w:szCs w:val="24"/>
        </w:rPr>
        <w:lastRenderedPageBreak/>
        <w:t xml:space="preserve">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bookmarkStart w:id="57" w:name="_GoBack"/>
      <w:bookmarkEnd w:id="57"/>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8" w:name="_Hlk519775982"/>
    </w:p>
    <w:bookmarkEnd w:id="58"/>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9" w:name="_Toc54098458"/>
      <w:r>
        <w:t>Predloženie ponuky a lehota viazanosti ponúk</w:t>
      </w:r>
      <w:bookmarkEnd w:id="59"/>
    </w:p>
    <w:p w14:paraId="60689707" w14:textId="5B3A575A"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15.1.2021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60" w:name="page12"/>
      <w:bookmarkEnd w:id="60"/>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1" w:name="page13"/>
      <w:bookmarkEnd w:id="61"/>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5161741"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2"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E43783" w:rsidRPr="00891C7C">
        <w:rPr>
          <w:rFonts w:ascii="Times New Roman" w:hAnsi="Times New Roman" w:cs="Times New Roman"/>
          <w:color w:val="FF0000"/>
          <w:sz w:val="24"/>
          <w:szCs w:val="24"/>
        </w:rPr>
        <w:t>1</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2"/>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3" w:name="_Toc54098459"/>
      <w:r>
        <w:t>Jazyk ponuky</w:t>
      </w:r>
      <w:bookmarkEnd w:id="63"/>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4" w:name="_Toc54098460"/>
      <w:r>
        <w:t>Dôvernosť ponuky</w:t>
      </w:r>
      <w:bookmarkEnd w:id="64"/>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5"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5"/>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6" w:name="_Toc54098461"/>
      <w:r>
        <w:t>Skupina dodávateľov</w:t>
      </w:r>
      <w:bookmarkEnd w:id="66"/>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7"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8"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7"/>
      <w:bookmarkEnd w:id="68"/>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9" w:name="_Toc54098462"/>
      <w:r>
        <w:t>Variantné riešenie</w:t>
      </w:r>
      <w:bookmarkEnd w:id="69"/>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70" w:name="_Toc54098463"/>
      <w:r>
        <w:t>Otváranie ponúk</w:t>
      </w:r>
      <w:bookmarkEnd w:id="70"/>
    </w:p>
    <w:p w14:paraId="4FF6301D" w14:textId="5CEC972D"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15.1.2021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39A51689"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15.1.2021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1" w:name="_Toc54098464"/>
      <w:r>
        <w:t>Vyhodnotenie splnenia podmienok účasti a ponúk</w:t>
      </w:r>
      <w:bookmarkEnd w:id="71"/>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2" w:name="_Toc54098465"/>
      <w:r>
        <w:lastRenderedPageBreak/>
        <w:t>Uzavretie zmluvy</w:t>
      </w:r>
      <w:bookmarkStart w:id="73" w:name="page15"/>
      <w:bookmarkEnd w:id="72"/>
      <w:bookmarkEnd w:id="73"/>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4" w:name="_Toc54098466"/>
      <w:r>
        <w:t>Zmluvný vzťah a jeho trvanie</w:t>
      </w:r>
      <w:bookmarkEnd w:id="74"/>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5" w:name="_Toc54098467"/>
      <w:r>
        <w:t>Subdodávatelia</w:t>
      </w:r>
      <w:bookmarkEnd w:id="75"/>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6" w:name="_Toc54098468"/>
      <w:r>
        <w:t>Ďalšie informácie</w:t>
      </w:r>
      <w:bookmarkEnd w:id="76"/>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w:t>
      </w:r>
      <w:r w:rsidRPr="00B158C3">
        <w:rPr>
          <w:rFonts w:ascii="Times New Roman" w:hAnsi="Times New Roman" w:cs="Times New Roman"/>
          <w:sz w:val="24"/>
          <w:szCs w:val="24"/>
        </w:rPr>
        <w:lastRenderedPageBreak/>
        <w:t>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lastRenderedPageBreak/>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lastRenderedPageBreak/>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w:t>
      </w:r>
      <w:r w:rsidRPr="00C368F1">
        <w:rPr>
          <w:rFonts w:ascii="Times New Roman" w:hAnsi="Times New Roman" w:cs="Times New Roman"/>
          <w:sz w:val="24"/>
          <w:szCs w:val="24"/>
        </w:rPr>
        <w:lastRenderedPageBreak/>
        <w:t>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w:t>
      </w:r>
      <w:r w:rsidRPr="00A76B6C">
        <w:rPr>
          <w:rFonts w:ascii="Times New Roman" w:hAnsi="Times New Roman" w:cs="Times New Roman"/>
          <w:sz w:val="24"/>
          <w:szCs w:val="24"/>
        </w:rPr>
        <w:lastRenderedPageBreak/>
        <w:t>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1FD11" w14:textId="77777777" w:rsidR="00D47B77" w:rsidRDefault="00D47B77" w:rsidP="00082C7D">
      <w:r>
        <w:separator/>
      </w:r>
    </w:p>
  </w:endnote>
  <w:endnote w:type="continuationSeparator" w:id="0">
    <w:p w14:paraId="5EF58086" w14:textId="77777777" w:rsidR="00D47B77" w:rsidRDefault="00D47B77" w:rsidP="00082C7D">
      <w:r>
        <w:continuationSeparator/>
      </w:r>
    </w:p>
  </w:endnote>
  <w:endnote w:type="continuationNotice" w:id="1">
    <w:p w14:paraId="2AE890BE" w14:textId="77777777" w:rsidR="00D47B77" w:rsidRDefault="00D47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A0002AEF" w:usb1="4000207B" w:usb2="00000000"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A3EEF" w14:textId="77777777" w:rsidR="00D47B77" w:rsidRDefault="00D47B77" w:rsidP="00082C7D">
      <w:r>
        <w:separator/>
      </w:r>
    </w:p>
  </w:footnote>
  <w:footnote w:type="continuationSeparator" w:id="0">
    <w:p w14:paraId="5563FCB9" w14:textId="77777777" w:rsidR="00D47B77" w:rsidRDefault="00D47B77" w:rsidP="00082C7D">
      <w:r>
        <w:continuationSeparator/>
      </w:r>
    </w:p>
  </w:footnote>
  <w:footnote w:type="continuationNotice" w:id="1">
    <w:p w14:paraId="5F86DCE4" w14:textId="77777777" w:rsidR="00D47B77" w:rsidRDefault="00D47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8768</Words>
  <Characters>49983</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19</cp:revision>
  <cp:lastPrinted>2020-06-11T07:44:00Z</cp:lastPrinted>
  <dcterms:created xsi:type="dcterms:W3CDTF">2020-10-01T13:00:00Z</dcterms:created>
  <dcterms:modified xsi:type="dcterms:W3CDTF">2020-12-29T18:15:00Z</dcterms:modified>
</cp:coreProperties>
</file>