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D057" w14:textId="282651AD" w:rsidR="00A84FC2" w:rsidRPr="00A84FC2" w:rsidRDefault="00A84FC2" w:rsidP="00A84FC2">
      <w:pPr>
        <w:pStyle w:val="Nadpis1"/>
        <w:rPr>
          <w:rFonts w:ascii="Garamond" w:hAnsi="Garamond"/>
          <w:noProof w:val="0"/>
          <w:color w:val="auto"/>
          <w:sz w:val="22"/>
          <w:szCs w:val="22"/>
        </w:rPr>
      </w:pPr>
    </w:p>
    <w:p w14:paraId="1F3E5494" w14:textId="77777777" w:rsidR="00A84FC2" w:rsidRPr="00A84FC2" w:rsidRDefault="00A84FC2" w:rsidP="00A84FC2">
      <w:pPr>
        <w:jc w:val="both"/>
        <w:rPr>
          <w:sz w:val="22"/>
          <w:szCs w:val="22"/>
        </w:rPr>
      </w:pPr>
    </w:p>
    <w:p w14:paraId="5BD3F06D" w14:textId="14404F64" w:rsidR="00A84FC2" w:rsidRPr="00A84FC2" w:rsidRDefault="00A84FC2" w:rsidP="00A84FC2">
      <w:pPr>
        <w:widowControl w:val="0"/>
        <w:spacing w:after="212" w:line="210" w:lineRule="exact"/>
        <w:jc w:val="center"/>
        <w:rPr>
          <w:noProof w:val="0"/>
          <w:sz w:val="22"/>
          <w:szCs w:val="22"/>
        </w:rPr>
      </w:pPr>
      <w:r w:rsidRPr="00A84FC2">
        <w:rPr>
          <w:noProof w:val="0"/>
          <w:sz w:val="22"/>
          <w:szCs w:val="22"/>
        </w:rPr>
        <w:t xml:space="preserve">CP 39/2025 </w:t>
      </w:r>
      <w:bookmarkStart w:id="0" w:name="_Hlk62819095"/>
    </w:p>
    <w:p w14:paraId="0BDCE02B" w14:textId="6607BE22" w:rsidR="00A84FC2" w:rsidRDefault="00A84FC2" w:rsidP="00A84FC2">
      <w:pPr>
        <w:widowControl w:val="0"/>
        <w:spacing w:after="212" w:line="210" w:lineRule="exact"/>
        <w:jc w:val="center"/>
        <w:rPr>
          <w:b/>
          <w:sz w:val="22"/>
          <w:szCs w:val="22"/>
        </w:rPr>
      </w:pPr>
      <w:r w:rsidRPr="00A84FC2">
        <w:rPr>
          <w:b/>
          <w:bCs/>
          <w:noProof w:val="0"/>
          <w:sz w:val="22"/>
          <w:szCs w:val="22"/>
        </w:rPr>
        <w:t>„</w:t>
      </w:r>
      <w:bookmarkStart w:id="1" w:name="_Hlk76547843"/>
      <w:r w:rsidRPr="00A84FC2">
        <w:rPr>
          <w:b/>
          <w:bCs/>
          <w:sz w:val="22"/>
          <w:szCs w:val="22"/>
        </w:rPr>
        <w:t xml:space="preserve">Oprava </w:t>
      </w:r>
      <w:bookmarkEnd w:id="1"/>
      <w:r w:rsidRPr="00A84FC2">
        <w:rPr>
          <w:b/>
          <w:bCs/>
          <w:sz w:val="22"/>
          <w:szCs w:val="22"/>
        </w:rPr>
        <w:t>koľajových oblúkov a konštrukcií navarovaním</w:t>
      </w:r>
      <w:r w:rsidRPr="00A84FC2">
        <w:rPr>
          <w:b/>
          <w:sz w:val="22"/>
          <w:szCs w:val="22"/>
        </w:rPr>
        <w:t>“</w:t>
      </w:r>
      <w:bookmarkEnd w:id="0"/>
    </w:p>
    <w:p w14:paraId="47C1507C" w14:textId="77777777" w:rsidR="00A84FC2" w:rsidRDefault="00A84FC2" w:rsidP="00A84FC2">
      <w:pPr>
        <w:widowControl w:val="0"/>
        <w:spacing w:after="212" w:line="210" w:lineRule="exact"/>
        <w:rPr>
          <w:b/>
          <w:sz w:val="22"/>
          <w:szCs w:val="22"/>
        </w:rPr>
      </w:pPr>
    </w:p>
    <w:p w14:paraId="33908EB0" w14:textId="14611CAA" w:rsidR="00A84FC2" w:rsidRPr="00A84FC2" w:rsidRDefault="00A84FC2" w:rsidP="00A84FC2">
      <w:pPr>
        <w:rPr>
          <w:noProof w:val="0"/>
          <w:sz w:val="22"/>
          <w:szCs w:val="22"/>
        </w:rPr>
      </w:pPr>
      <w:r w:rsidRPr="00A84FC2">
        <w:rPr>
          <w:noProof w:val="0"/>
          <w:sz w:val="22"/>
          <w:szCs w:val="22"/>
        </w:rPr>
        <w:t xml:space="preserve">Predpokladaná hodnota zákazky je: </w:t>
      </w:r>
      <w:r>
        <w:rPr>
          <w:noProof w:val="0"/>
          <w:sz w:val="22"/>
          <w:szCs w:val="22"/>
        </w:rPr>
        <w:t>50 100</w:t>
      </w:r>
      <w:r w:rsidRPr="00A84FC2">
        <w:rPr>
          <w:noProof w:val="0"/>
          <w:sz w:val="22"/>
          <w:szCs w:val="22"/>
        </w:rPr>
        <w:t>,00 EUR bez DPH.</w:t>
      </w:r>
    </w:p>
    <w:p w14:paraId="726C7481" w14:textId="77777777" w:rsidR="00A84FC2" w:rsidRPr="00A84FC2" w:rsidRDefault="00A84FC2" w:rsidP="00A84FC2">
      <w:pPr>
        <w:rPr>
          <w:noProof w:val="0"/>
          <w:sz w:val="22"/>
          <w:szCs w:val="22"/>
        </w:rPr>
      </w:pPr>
    </w:p>
    <w:p w14:paraId="36E9B657" w14:textId="54285266" w:rsidR="00A84FC2" w:rsidRPr="00A84FC2" w:rsidRDefault="00A84FC2" w:rsidP="00A84FC2">
      <w:pPr>
        <w:jc w:val="both"/>
        <w:rPr>
          <w:noProof w:val="0"/>
          <w:sz w:val="22"/>
          <w:szCs w:val="22"/>
        </w:rPr>
      </w:pPr>
      <w:r w:rsidRPr="00A84FC2">
        <w:rPr>
          <w:noProof w:val="0"/>
          <w:sz w:val="22"/>
          <w:szCs w:val="22"/>
        </w:rPr>
        <w:t xml:space="preserve">Predmetom zákazky je: </w:t>
      </w:r>
    </w:p>
    <w:p w14:paraId="3F04FD2D" w14:textId="77777777" w:rsidR="00A84FC2" w:rsidRPr="00A84FC2" w:rsidRDefault="00A84FC2" w:rsidP="00A84FC2">
      <w:pPr>
        <w:jc w:val="both"/>
        <w:rPr>
          <w:sz w:val="22"/>
          <w:szCs w:val="22"/>
        </w:rPr>
      </w:pPr>
      <w:r w:rsidRPr="00A84FC2">
        <w:rPr>
          <w:sz w:val="22"/>
          <w:szCs w:val="22"/>
        </w:rPr>
        <w:t>Oprava koľajových oblúkov, výhybiek a križovatiek vrátane ich súvisiacich funkčných častí reprofiláciou opotrebovaných častí do zodpovedajucého prierezu a tvaru bez prerušenia električkovej dopravy s max. využitím nočnej dopravnej výluky. Realizácia odstraňovania havarijných stavov častí koľajového zvršku električkových tratí.</w:t>
      </w:r>
    </w:p>
    <w:p w14:paraId="3D716B75" w14:textId="77777777" w:rsidR="00A84FC2" w:rsidRPr="00A84FC2" w:rsidRDefault="00A84FC2" w:rsidP="00A84FC2">
      <w:pPr>
        <w:jc w:val="both"/>
        <w:rPr>
          <w:sz w:val="22"/>
          <w:szCs w:val="22"/>
        </w:rPr>
      </w:pPr>
      <w:r w:rsidRPr="00A84FC2">
        <w:rPr>
          <w:sz w:val="22"/>
          <w:szCs w:val="22"/>
        </w:rPr>
        <w:t xml:space="preserve">1. ks oprava navarovaním koľajovej srdcovky </w:t>
      </w:r>
    </w:p>
    <w:p w14:paraId="475F7745" w14:textId="29F74DF1" w:rsidR="00A84FC2" w:rsidRPr="00A84FC2" w:rsidRDefault="001D62CE" w:rsidP="00A84FC2">
      <w:pPr>
        <w:jc w:val="both"/>
        <w:rPr>
          <w:sz w:val="22"/>
          <w:szCs w:val="22"/>
        </w:rPr>
      </w:pPr>
      <w:r>
        <w:rPr>
          <w:sz w:val="22"/>
          <w:szCs w:val="22"/>
        </w:rPr>
        <w:t>2</w:t>
      </w:r>
      <w:r w:rsidR="00A84FC2" w:rsidRPr="00A84FC2">
        <w:rPr>
          <w:sz w:val="22"/>
          <w:szCs w:val="22"/>
        </w:rPr>
        <w:t>. bm oprava hlavy koľajnice navarovaním automatom pod tavivom</w:t>
      </w:r>
    </w:p>
    <w:p w14:paraId="346F66BD" w14:textId="3541924E" w:rsidR="00A84FC2" w:rsidRPr="00A84FC2" w:rsidRDefault="001D62CE" w:rsidP="00A84FC2">
      <w:pPr>
        <w:jc w:val="both"/>
        <w:rPr>
          <w:sz w:val="22"/>
          <w:szCs w:val="22"/>
        </w:rPr>
      </w:pPr>
      <w:r>
        <w:rPr>
          <w:sz w:val="22"/>
          <w:szCs w:val="22"/>
        </w:rPr>
        <w:t>3</w:t>
      </w:r>
      <w:r w:rsidR="00A84FC2" w:rsidRPr="00A84FC2">
        <w:rPr>
          <w:sz w:val="22"/>
          <w:szCs w:val="22"/>
        </w:rPr>
        <w:t>. bm oprava opornice koľajnice navarovaním automatom pod tavivom</w:t>
      </w:r>
    </w:p>
    <w:p w14:paraId="15180394" w14:textId="77777777" w:rsidR="00A84FC2" w:rsidRPr="00A84FC2" w:rsidRDefault="00A84FC2" w:rsidP="00A84FC2">
      <w:pPr>
        <w:jc w:val="both"/>
        <w:rPr>
          <w:sz w:val="22"/>
          <w:szCs w:val="22"/>
        </w:rPr>
      </w:pPr>
    </w:p>
    <w:p w14:paraId="554DF924" w14:textId="77777777" w:rsidR="00A84FC2" w:rsidRPr="00A84FC2" w:rsidRDefault="00A84FC2" w:rsidP="00A84FC2">
      <w:pPr>
        <w:jc w:val="both"/>
        <w:rPr>
          <w:sz w:val="22"/>
          <w:szCs w:val="22"/>
        </w:rPr>
      </w:pPr>
      <w:r w:rsidRPr="00A84FC2">
        <w:rPr>
          <w:sz w:val="22"/>
          <w:szCs w:val="22"/>
        </w:rPr>
        <w:t>Ceny sú stanovené vrátane dopravy pracovníkov, potrebných strojov, zariadení a materiálov na určené pracovisko.</w:t>
      </w:r>
    </w:p>
    <w:p w14:paraId="2B5BB2A5" w14:textId="77777777" w:rsidR="00A84FC2" w:rsidRPr="00A84FC2" w:rsidRDefault="00A84FC2" w:rsidP="00A84FC2">
      <w:pPr>
        <w:jc w:val="both"/>
        <w:rPr>
          <w:sz w:val="22"/>
          <w:szCs w:val="22"/>
        </w:rPr>
      </w:pPr>
    </w:p>
    <w:p w14:paraId="77E1323D" w14:textId="77777777" w:rsidR="00A84FC2" w:rsidRPr="00A84FC2" w:rsidRDefault="00A84FC2" w:rsidP="00A84FC2">
      <w:pPr>
        <w:jc w:val="both"/>
        <w:rPr>
          <w:b/>
          <w:bCs/>
          <w:sz w:val="22"/>
          <w:szCs w:val="22"/>
        </w:rPr>
      </w:pPr>
      <w:r w:rsidRPr="00A84FC2">
        <w:rPr>
          <w:b/>
          <w:bCs/>
          <w:sz w:val="22"/>
          <w:szCs w:val="22"/>
        </w:rPr>
        <w:t>„Koľajové križovatky a výhybkové kríženia“</w:t>
      </w:r>
    </w:p>
    <w:p w14:paraId="1551473F" w14:textId="77777777" w:rsidR="00A84FC2" w:rsidRPr="00A84FC2" w:rsidRDefault="00A84FC2" w:rsidP="00A84FC2">
      <w:pPr>
        <w:jc w:val="both"/>
        <w:rPr>
          <w:sz w:val="22"/>
          <w:szCs w:val="22"/>
        </w:rPr>
      </w:pPr>
      <w:r w:rsidRPr="00A84FC2">
        <w:rPr>
          <w:sz w:val="22"/>
          <w:szCs w:val="22"/>
        </w:rPr>
        <w:t xml:space="preserve">Výška a tvar pojazďovaného profilu srdcovky musí zodpovedať koľajnici NT 1 alebo Ri 60 podľa potreby objednávateľa  v hlbokožliabkovom alebo nízkožliabkovom prevedení. </w:t>
      </w:r>
    </w:p>
    <w:p w14:paraId="6A2703BE" w14:textId="77777777" w:rsidR="00A84FC2" w:rsidRPr="00A84FC2" w:rsidRDefault="00A84FC2" w:rsidP="00A84FC2">
      <w:pPr>
        <w:jc w:val="both"/>
        <w:rPr>
          <w:sz w:val="22"/>
          <w:szCs w:val="22"/>
        </w:rPr>
      </w:pPr>
    </w:p>
    <w:p w14:paraId="75C77147" w14:textId="77777777" w:rsidR="00A84FC2" w:rsidRPr="00A84FC2" w:rsidRDefault="00A84FC2" w:rsidP="00A84FC2">
      <w:pPr>
        <w:jc w:val="both"/>
        <w:rPr>
          <w:b/>
          <w:bCs/>
          <w:sz w:val="22"/>
          <w:szCs w:val="22"/>
        </w:rPr>
      </w:pPr>
      <w:r w:rsidRPr="00A84FC2">
        <w:rPr>
          <w:b/>
          <w:bCs/>
          <w:sz w:val="22"/>
          <w:szCs w:val="22"/>
        </w:rPr>
        <w:t xml:space="preserve">„Oprava koľajových oblúkov navarovaním“               </w:t>
      </w:r>
    </w:p>
    <w:p w14:paraId="7F51A826" w14:textId="77777777" w:rsidR="00A84FC2" w:rsidRPr="00A84FC2" w:rsidRDefault="00A84FC2" w:rsidP="00A84FC2">
      <w:pPr>
        <w:jc w:val="both"/>
        <w:rPr>
          <w:sz w:val="22"/>
          <w:szCs w:val="22"/>
        </w:rPr>
      </w:pPr>
      <w:r w:rsidRPr="00A84FC2">
        <w:rPr>
          <w:sz w:val="22"/>
          <w:szCs w:val="22"/>
        </w:rPr>
        <w:t>Oprava opotrebovaných častí žliabkových koľajníc (hláv a oporníc) na otvorenom aj uzavretom železničnom zvršku mestských dráh navarovaním automatom pod tavivom bez predohrevu, nelegovaným prídavným materiálom, zhotovenie zvarkov ručne, elektrickým oblúkom. Odstraňovanie vzniknutých havarijných stavov na prevádzkových úsekoch železničného zvršku mestských koľajových dráh za prevádzky a s maximálnym využitím nočných dopravných výluk, v prevažnej miere na niekoľkokrát navarovaných žliabkových koľajniciach.</w:t>
      </w:r>
    </w:p>
    <w:p w14:paraId="7AACC7A4" w14:textId="77777777" w:rsidR="00A84FC2" w:rsidRPr="00A84FC2" w:rsidRDefault="00A84FC2" w:rsidP="00A84FC2">
      <w:pPr>
        <w:jc w:val="both"/>
        <w:rPr>
          <w:sz w:val="22"/>
          <w:szCs w:val="22"/>
        </w:rPr>
      </w:pPr>
    </w:p>
    <w:p w14:paraId="5173D8EF" w14:textId="77777777" w:rsidR="00A84FC2" w:rsidRPr="00A84FC2" w:rsidRDefault="00A84FC2" w:rsidP="00A84FC2">
      <w:pPr>
        <w:jc w:val="both"/>
        <w:rPr>
          <w:b/>
          <w:bCs/>
          <w:sz w:val="22"/>
          <w:szCs w:val="22"/>
          <w:u w:val="single"/>
        </w:rPr>
      </w:pPr>
      <w:r w:rsidRPr="00A84FC2">
        <w:rPr>
          <w:b/>
          <w:bCs/>
          <w:sz w:val="22"/>
          <w:szCs w:val="22"/>
        </w:rPr>
        <w:t>„Regenerácia koľajových konštrukcií“</w:t>
      </w:r>
    </w:p>
    <w:p w14:paraId="64563A7D" w14:textId="77777777" w:rsidR="00A84FC2" w:rsidRPr="00A84FC2" w:rsidRDefault="00A84FC2" w:rsidP="00A84FC2">
      <w:pPr>
        <w:jc w:val="both"/>
        <w:rPr>
          <w:sz w:val="22"/>
          <w:szCs w:val="22"/>
        </w:rPr>
      </w:pPr>
      <w:r w:rsidRPr="00A84FC2">
        <w:rPr>
          <w:sz w:val="22"/>
          <w:szCs w:val="22"/>
        </w:rPr>
        <w:t>Regenerácia koľajových výhybiek a križovatiek mestských dráh vrátane ich súvisiacich funkčných častí navarovaním opotrebovaných častí do požadovaného prierezu a tvaru bez prerušenia električkovej dopravy ručne a automatom nelegovaným prídavným materiálom, s max. využitím nočnej dopravnej výluky. Realizácia odstraňovania havarijných stavov častí koľajového zvršku električkových tratí.</w:t>
      </w:r>
    </w:p>
    <w:p w14:paraId="5B0EBC4D" w14:textId="77777777" w:rsidR="00A84FC2" w:rsidRPr="00A84FC2" w:rsidRDefault="00A84FC2" w:rsidP="00A84FC2">
      <w:pPr>
        <w:jc w:val="both"/>
        <w:rPr>
          <w:b/>
          <w:bCs/>
          <w:sz w:val="22"/>
          <w:szCs w:val="22"/>
        </w:rPr>
      </w:pPr>
    </w:p>
    <w:p w14:paraId="0F6350CD" w14:textId="37BCD381" w:rsidR="00A84FC2" w:rsidRPr="00A84FC2" w:rsidRDefault="00A84FC2" w:rsidP="00A84FC2">
      <w:pPr>
        <w:rPr>
          <w:rFonts w:cs="Arial"/>
          <w:sz w:val="22"/>
          <w:szCs w:val="22"/>
        </w:rPr>
      </w:pPr>
      <w:r w:rsidRPr="00A84FC2">
        <w:rPr>
          <w:rFonts w:cs="Arial"/>
          <w:sz w:val="22"/>
          <w:szCs w:val="22"/>
        </w:rPr>
        <w:t>Oprava koľajových oblúkov a konštrukcií navarovaním v predpokladanom objeme</w:t>
      </w:r>
    </w:p>
    <w:p w14:paraId="01774B50" w14:textId="77777777" w:rsidR="00A84FC2" w:rsidRPr="00A84FC2" w:rsidRDefault="00A84FC2" w:rsidP="00A84FC2">
      <w:pPr>
        <w:jc w:val="both"/>
        <w:rPr>
          <w:b/>
          <w:bCs/>
          <w:sz w:val="22"/>
          <w:szCs w:val="22"/>
        </w:rPr>
      </w:pPr>
    </w:p>
    <w:p w14:paraId="2B2200A3" w14:textId="77777777" w:rsidR="00A84FC2" w:rsidRPr="00A84FC2" w:rsidRDefault="00A84FC2" w:rsidP="00A84FC2">
      <w:pPr>
        <w:jc w:val="both"/>
        <w:rPr>
          <w:b/>
          <w:bCs/>
          <w:sz w:val="22"/>
          <w:szCs w:val="22"/>
        </w:rPr>
      </w:pPr>
    </w:p>
    <w:p w14:paraId="527F3BF7" w14:textId="77777777" w:rsidR="00A84FC2" w:rsidRPr="00A84FC2" w:rsidRDefault="00A84FC2" w:rsidP="00A84FC2">
      <w:pPr>
        <w:jc w:val="center"/>
        <w:rPr>
          <w:b/>
          <w:bCs/>
          <w:sz w:val="22"/>
          <w:szCs w:val="22"/>
        </w:rPr>
      </w:pPr>
      <w:r w:rsidRPr="00A84FC2">
        <w:rPr>
          <w:b/>
          <w:bCs/>
          <w:sz w:val="22"/>
          <w:szCs w:val="22"/>
        </w:rPr>
        <w:t>Technická špecifikácia tovaru</w:t>
      </w:r>
    </w:p>
    <w:p w14:paraId="762C48E5" w14:textId="77777777" w:rsidR="00A84FC2" w:rsidRPr="00A84FC2" w:rsidRDefault="00A84FC2" w:rsidP="00A84FC2">
      <w:pPr>
        <w:jc w:val="both"/>
        <w:rPr>
          <w:b/>
          <w:bCs/>
          <w:sz w:val="22"/>
          <w:szCs w:val="22"/>
        </w:rPr>
      </w:pPr>
    </w:p>
    <w:tbl>
      <w:tblPr>
        <w:tblStyle w:val="Mriekatabuky1"/>
        <w:tblW w:w="5000" w:type="pct"/>
        <w:jc w:val="center"/>
        <w:tblLook w:val="04A0" w:firstRow="1" w:lastRow="0" w:firstColumn="1" w:lastColumn="0" w:noHBand="0" w:noVBand="1"/>
      </w:tblPr>
      <w:tblGrid>
        <w:gridCol w:w="862"/>
        <w:gridCol w:w="3676"/>
        <w:gridCol w:w="1524"/>
        <w:gridCol w:w="3000"/>
      </w:tblGrid>
      <w:tr w:rsidR="00A84FC2" w:rsidRPr="00A84FC2" w14:paraId="118F91F6" w14:textId="77777777" w:rsidTr="001B7700">
        <w:trPr>
          <w:trHeight w:val="589"/>
          <w:jc w:val="center"/>
        </w:trPr>
        <w:tc>
          <w:tcPr>
            <w:tcW w:w="476" w:type="pct"/>
            <w:shd w:val="clear" w:color="auto" w:fill="BFBFBF" w:themeFill="background1" w:themeFillShade="BF"/>
          </w:tcPr>
          <w:p w14:paraId="1BF5750D" w14:textId="77777777" w:rsidR="00A84FC2" w:rsidRPr="00A84FC2" w:rsidRDefault="00A84FC2" w:rsidP="001B7700">
            <w:pPr>
              <w:rPr>
                <w:b/>
                <w:noProof w:val="0"/>
                <w:sz w:val="22"/>
                <w:szCs w:val="22"/>
              </w:rPr>
            </w:pPr>
            <w:bookmarkStart w:id="2" w:name="_Toc380494283"/>
            <w:r w:rsidRPr="00A84FC2">
              <w:rPr>
                <w:b/>
                <w:noProof w:val="0"/>
                <w:sz w:val="22"/>
                <w:szCs w:val="22"/>
              </w:rPr>
              <w:t>P. č.</w:t>
            </w:r>
          </w:p>
        </w:tc>
        <w:tc>
          <w:tcPr>
            <w:tcW w:w="2028" w:type="pct"/>
            <w:shd w:val="clear" w:color="auto" w:fill="BFBFBF" w:themeFill="background1" w:themeFillShade="BF"/>
          </w:tcPr>
          <w:p w14:paraId="329830F1" w14:textId="77777777" w:rsidR="00A84FC2" w:rsidRPr="00A84FC2" w:rsidRDefault="00A84FC2" w:rsidP="001B7700">
            <w:pPr>
              <w:jc w:val="center"/>
              <w:rPr>
                <w:b/>
                <w:noProof w:val="0"/>
                <w:sz w:val="22"/>
                <w:szCs w:val="22"/>
              </w:rPr>
            </w:pPr>
            <w:r w:rsidRPr="00A84FC2">
              <w:rPr>
                <w:b/>
                <w:noProof w:val="0"/>
                <w:sz w:val="22"/>
                <w:szCs w:val="22"/>
              </w:rPr>
              <w:t>Názov položky</w:t>
            </w:r>
          </w:p>
        </w:tc>
        <w:tc>
          <w:tcPr>
            <w:tcW w:w="841" w:type="pct"/>
            <w:shd w:val="clear" w:color="auto" w:fill="BFBFBF" w:themeFill="background1" w:themeFillShade="BF"/>
          </w:tcPr>
          <w:p w14:paraId="139A5064" w14:textId="77777777" w:rsidR="00A84FC2" w:rsidRPr="00A84FC2" w:rsidRDefault="00A84FC2" w:rsidP="001B7700">
            <w:pPr>
              <w:jc w:val="center"/>
              <w:rPr>
                <w:b/>
                <w:noProof w:val="0"/>
                <w:sz w:val="22"/>
                <w:szCs w:val="22"/>
              </w:rPr>
            </w:pPr>
            <w:r w:rsidRPr="00A84FC2">
              <w:rPr>
                <w:b/>
                <w:noProof w:val="0"/>
                <w:sz w:val="22"/>
                <w:szCs w:val="22"/>
              </w:rPr>
              <w:t>MJ</w:t>
            </w:r>
          </w:p>
        </w:tc>
        <w:tc>
          <w:tcPr>
            <w:tcW w:w="1655" w:type="pct"/>
            <w:shd w:val="clear" w:color="auto" w:fill="BFBFBF" w:themeFill="background1" w:themeFillShade="BF"/>
          </w:tcPr>
          <w:p w14:paraId="220AC0B5" w14:textId="77777777" w:rsidR="00A84FC2" w:rsidRPr="00A84FC2" w:rsidRDefault="00A84FC2" w:rsidP="001B7700">
            <w:pPr>
              <w:jc w:val="center"/>
              <w:rPr>
                <w:b/>
                <w:noProof w:val="0"/>
                <w:sz w:val="22"/>
                <w:szCs w:val="22"/>
              </w:rPr>
            </w:pPr>
            <w:r w:rsidRPr="00A84FC2">
              <w:rPr>
                <w:b/>
                <w:noProof w:val="0"/>
                <w:sz w:val="22"/>
                <w:szCs w:val="22"/>
              </w:rPr>
              <w:t>Predpokladaný objem v ks/bm</w:t>
            </w:r>
          </w:p>
        </w:tc>
      </w:tr>
      <w:tr w:rsidR="00A84FC2" w:rsidRPr="00A84FC2" w14:paraId="4DB62537" w14:textId="77777777" w:rsidTr="001B7700">
        <w:trPr>
          <w:trHeight w:val="483"/>
          <w:jc w:val="center"/>
        </w:trPr>
        <w:tc>
          <w:tcPr>
            <w:tcW w:w="476" w:type="pct"/>
            <w:vAlign w:val="center"/>
          </w:tcPr>
          <w:p w14:paraId="4BDF324E" w14:textId="77777777" w:rsidR="00A84FC2" w:rsidRPr="00A84FC2" w:rsidRDefault="00A84FC2" w:rsidP="00A84FC2">
            <w:pPr>
              <w:numPr>
                <w:ilvl w:val="0"/>
                <w:numId w:val="1"/>
              </w:numPr>
              <w:tabs>
                <w:tab w:val="left" w:pos="426"/>
              </w:tabs>
              <w:spacing w:after="200" w:line="276" w:lineRule="auto"/>
              <w:ind w:left="0" w:right="35" w:firstLine="0"/>
              <w:contextualSpacing/>
              <w:rPr>
                <w:rFonts w:eastAsia="Calibri"/>
                <w:noProof w:val="0"/>
                <w:sz w:val="22"/>
                <w:szCs w:val="22"/>
                <w:lang w:eastAsia="en-US"/>
              </w:rPr>
            </w:pPr>
            <w:bookmarkStart w:id="3" w:name="_Hlk506293824"/>
          </w:p>
        </w:tc>
        <w:tc>
          <w:tcPr>
            <w:tcW w:w="2028" w:type="pct"/>
          </w:tcPr>
          <w:p w14:paraId="4C99AD0E" w14:textId="77777777" w:rsidR="00A84FC2" w:rsidRPr="00A84FC2" w:rsidRDefault="00A84FC2" w:rsidP="001B7700">
            <w:pPr>
              <w:rPr>
                <w:noProof w:val="0"/>
                <w:sz w:val="22"/>
                <w:szCs w:val="22"/>
              </w:rPr>
            </w:pPr>
            <w:r w:rsidRPr="00A84FC2">
              <w:rPr>
                <w:iCs/>
                <w:noProof w:val="0"/>
                <w:sz w:val="22"/>
                <w:szCs w:val="22"/>
                <w:lang w:eastAsia="cs-CZ"/>
              </w:rPr>
              <w:t>Oprava koľajovej srdcovky navarovaním (ks)</w:t>
            </w:r>
          </w:p>
        </w:tc>
        <w:tc>
          <w:tcPr>
            <w:tcW w:w="841" w:type="pct"/>
            <w:vAlign w:val="center"/>
          </w:tcPr>
          <w:p w14:paraId="3E90E04E" w14:textId="77777777" w:rsidR="00A84FC2" w:rsidRPr="00A84FC2" w:rsidRDefault="00A84FC2" w:rsidP="001B7700">
            <w:pPr>
              <w:jc w:val="center"/>
              <w:rPr>
                <w:noProof w:val="0"/>
                <w:sz w:val="22"/>
                <w:szCs w:val="22"/>
              </w:rPr>
            </w:pPr>
            <w:r w:rsidRPr="00A84FC2">
              <w:rPr>
                <w:noProof w:val="0"/>
                <w:sz w:val="22"/>
                <w:szCs w:val="22"/>
              </w:rPr>
              <w:t>ks</w:t>
            </w:r>
          </w:p>
        </w:tc>
        <w:tc>
          <w:tcPr>
            <w:tcW w:w="1655" w:type="pct"/>
            <w:vAlign w:val="center"/>
          </w:tcPr>
          <w:p w14:paraId="56F9F197" w14:textId="38880D9F" w:rsidR="00A84FC2" w:rsidRPr="00A84FC2" w:rsidRDefault="00A84FC2" w:rsidP="001B7700">
            <w:pPr>
              <w:jc w:val="center"/>
              <w:rPr>
                <w:b/>
                <w:noProof w:val="0"/>
                <w:sz w:val="22"/>
                <w:szCs w:val="22"/>
              </w:rPr>
            </w:pPr>
            <w:r>
              <w:rPr>
                <w:b/>
                <w:noProof w:val="0"/>
                <w:sz w:val="22"/>
                <w:szCs w:val="22"/>
              </w:rPr>
              <w:t>8</w:t>
            </w:r>
          </w:p>
        </w:tc>
      </w:tr>
      <w:tr w:rsidR="00A84FC2" w:rsidRPr="00A84FC2" w14:paraId="0D1BFD68" w14:textId="77777777" w:rsidTr="001B7700">
        <w:trPr>
          <w:jc w:val="center"/>
        </w:trPr>
        <w:tc>
          <w:tcPr>
            <w:tcW w:w="476" w:type="pct"/>
            <w:vAlign w:val="center"/>
          </w:tcPr>
          <w:p w14:paraId="6E44257C" w14:textId="77777777" w:rsidR="00A84FC2" w:rsidRPr="00A84FC2" w:rsidRDefault="00A84FC2" w:rsidP="00A84FC2">
            <w:pPr>
              <w:numPr>
                <w:ilvl w:val="0"/>
                <w:numId w:val="1"/>
              </w:numPr>
              <w:tabs>
                <w:tab w:val="left" w:pos="54"/>
                <w:tab w:val="left" w:pos="426"/>
              </w:tabs>
              <w:spacing w:after="200" w:line="276" w:lineRule="auto"/>
              <w:ind w:left="0" w:right="35" w:firstLine="0"/>
              <w:contextualSpacing/>
              <w:rPr>
                <w:rFonts w:eastAsia="Calibri"/>
                <w:noProof w:val="0"/>
                <w:sz w:val="22"/>
                <w:szCs w:val="22"/>
                <w:lang w:eastAsia="en-US"/>
              </w:rPr>
            </w:pPr>
          </w:p>
        </w:tc>
        <w:tc>
          <w:tcPr>
            <w:tcW w:w="2028" w:type="pct"/>
          </w:tcPr>
          <w:p w14:paraId="475EF7B7" w14:textId="77777777" w:rsidR="00A84FC2" w:rsidRPr="00A84FC2" w:rsidRDefault="00A84FC2" w:rsidP="001B7700">
            <w:pPr>
              <w:rPr>
                <w:noProof w:val="0"/>
                <w:sz w:val="22"/>
                <w:szCs w:val="22"/>
              </w:rPr>
            </w:pPr>
            <w:r w:rsidRPr="00A84FC2">
              <w:rPr>
                <w:iCs/>
                <w:noProof w:val="0"/>
                <w:sz w:val="22"/>
                <w:szCs w:val="22"/>
                <w:lang w:eastAsia="cs-CZ"/>
              </w:rPr>
              <w:t>Oprava hlavy koľajnice navarovaním do opotrebenia 15/20 (bm)</w:t>
            </w:r>
          </w:p>
        </w:tc>
        <w:tc>
          <w:tcPr>
            <w:tcW w:w="841" w:type="pct"/>
            <w:vAlign w:val="center"/>
          </w:tcPr>
          <w:p w14:paraId="2151F017" w14:textId="77777777" w:rsidR="00A84FC2" w:rsidRPr="00A84FC2" w:rsidRDefault="00A84FC2" w:rsidP="001B7700">
            <w:pPr>
              <w:jc w:val="center"/>
              <w:rPr>
                <w:noProof w:val="0"/>
                <w:sz w:val="22"/>
                <w:szCs w:val="22"/>
              </w:rPr>
            </w:pPr>
            <w:r w:rsidRPr="00A84FC2">
              <w:rPr>
                <w:noProof w:val="0"/>
                <w:sz w:val="22"/>
                <w:szCs w:val="22"/>
              </w:rPr>
              <w:t>bm</w:t>
            </w:r>
          </w:p>
        </w:tc>
        <w:tc>
          <w:tcPr>
            <w:tcW w:w="1655" w:type="pct"/>
            <w:vAlign w:val="center"/>
          </w:tcPr>
          <w:p w14:paraId="5F745634" w14:textId="59896828" w:rsidR="00A84FC2" w:rsidRPr="00A84FC2" w:rsidRDefault="00A84FC2" w:rsidP="001B7700">
            <w:pPr>
              <w:jc w:val="center"/>
              <w:rPr>
                <w:b/>
                <w:noProof w:val="0"/>
                <w:sz w:val="22"/>
                <w:szCs w:val="22"/>
              </w:rPr>
            </w:pPr>
            <w:r>
              <w:rPr>
                <w:b/>
                <w:noProof w:val="0"/>
                <w:sz w:val="22"/>
                <w:szCs w:val="22"/>
              </w:rPr>
              <w:t>123</w:t>
            </w:r>
          </w:p>
        </w:tc>
      </w:tr>
      <w:tr w:rsidR="00A84FC2" w:rsidRPr="00A84FC2" w14:paraId="7D567FBE" w14:textId="77777777" w:rsidTr="001B7700">
        <w:trPr>
          <w:trHeight w:val="509"/>
          <w:jc w:val="center"/>
        </w:trPr>
        <w:tc>
          <w:tcPr>
            <w:tcW w:w="476" w:type="pct"/>
            <w:vAlign w:val="center"/>
          </w:tcPr>
          <w:p w14:paraId="13C65380" w14:textId="77777777" w:rsidR="00A84FC2" w:rsidRPr="00A84FC2" w:rsidRDefault="00A84FC2" w:rsidP="00A84FC2">
            <w:pPr>
              <w:numPr>
                <w:ilvl w:val="0"/>
                <w:numId w:val="1"/>
              </w:numPr>
              <w:tabs>
                <w:tab w:val="left" w:pos="54"/>
                <w:tab w:val="left" w:pos="426"/>
              </w:tabs>
              <w:spacing w:after="200" w:line="276" w:lineRule="auto"/>
              <w:ind w:left="0" w:right="35" w:firstLine="0"/>
              <w:contextualSpacing/>
              <w:rPr>
                <w:rFonts w:eastAsia="Calibri"/>
                <w:noProof w:val="0"/>
                <w:sz w:val="22"/>
                <w:szCs w:val="22"/>
                <w:lang w:eastAsia="en-US"/>
              </w:rPr>
            </w:pPr>
          </w:p>
        </w:tc>
        <w:tc>
          <w:tcPr>
            <w:tcW w:w="2028" w:type="pct"/>
          </w:tcPr>
          <w:p w14:paraId="3A7DFFD6" w14:textId="77777777" w:rsidR="00A84FC2" w:rsidRPr="00A84FC2" w:rsidRDefault="00A84FC2" w:rsidP="001B7700">
            <w:pPr>
              <w:rPr>
                <w:noProof w:val="0"/>
                <w:sz w:val="22"/>
                <w:szCs w:val="22"/>
              </w:rPr>
            </w:pPr>
            <w:r w:rsidRPr="00A84FC2">
              <w:rPr>
                <w:iCs/>
                <w:noProof w:val="0"/>
                <w:sz w:val="22"/>
                <w:szCs w:val="22"/>
                <w:lang w:eastAsia="cs-CZ"/>
              </w:rPr>
              <w:t>Oprava opornice koľajnice navarovaním (bm)</w:t>
            </w:r>
          </w:p>
        </w:tc>
        <w:tc>
          <w:tcPr>
            <w:tcW w:w="841" w:type="pct"/>
            <w:vAlign w:val="center"/>
          </w:tcPr>
          <w:p w14:paraId="0ECC8046" w14:textId="77777777" w:rsidR="00A84FC2" w:rsidRPr="00A84FC2" w:rsidRDefault="00A84FC2" w:rsidP="001B7700">
            <w:pPr>
              <w:jc w:val="center"/>
              <w:rPr>
                <w:noProof w:val="0"/>
                <w:sz w:val="22"/>
                <w:szCs w:val="22"/>
              </w:rPr>
            </w:pPr>
            <w:r w:rsidRPr="00A84FC2">
              <w:rPr>
                <w:noProof w:val="0"/>
                <w:sz w:val="22"/>
                <w:szCs w:val="22"/>
              </w:rPr>
              <w:t>bm</w:t>
            </w:r>
          </w:p>
        </w:tc>
        <w:tc>
          <w:tcPr>
            <w:tcW w:w="1655" w:type="pct"/>
            <w:vAlign w:val="center"/>
          </w:tcPr>
          <w:p w14:paraId="5661B480" w14:textId="14E4A038" w:rsidR="00A84FC2" w:rsidRPr="00A84FC2" w:rsidRDefault="00A84FC2" w:rsidP="001B7700">
            <w:pPr>
              <w:jc w:val="center"/>
              <w:rPr>
                <w:b/>
                <w:noProof w:val="0"/>
                <w:sz w:val="22"/>
                <w:szCs w:val="22"/>
              </w:rPr>
            </w:pPr>
            <w:r>
              <w:rPr>
                <w:b/>
                <w:noProof w:val="0"/>
                <w:sz w:val="22"/>
                <w:szCs w:val="22"/>
              </w:rPr>
              <w:t>88</w:t>
            </w:r>
          </w:p>
        </w:tc>
      </w:tr>
      <w:bookmarkEnd w:id="2"/>
      <w:bookmarkEnd w:id="3"/>
    </w:tbl>
    <w:p w14:paraId="0D8CA1FA" w14:textId="77777777" w:rsidR="005C4916" w:rsidRPr="00A84FC2" w:rsidRDefault="005C4916">
      <w:pPr>
        <w:rPr>
          <w:sz w:val="22"/>
          <w:szCs w:val="22"/>
        </w:rPr>
      </w:pPr>
    </w:p>
    <w:sectPr w:rsidR="005C4916" w:rsidRPr="00A84FC2" w:rsidSect="00A84FC2">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A0A0" w14:textId="77777777" w:rsidR="00A84FC2" w:rsidRDefault="00A84FC2" w:rsidP="00A84FC2">
      <w:r>
        <w:separator/>
      </w:r>
    </w:p>
  </w:endnote>
  <w:endnote w:type="continuationSeparator" w:id="0">
    <w:p w14:paraId="45DCA3E7" w14:textId="77777777" w:rsidR="00A84FC2" w:rsidRDefault="00A84FC2" w:rsidP="00A8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854D" w14:textId="77777777" w:rsidR="00A84FC2" w:rsidRDefault="00A84FC2" w:rsidP="00A84FC2">
      <w:r>
        <w:separator/>
      </w:r>
    </w:p>
  </w:footnote>
  <w:footnote w:type="continuationSeparator" w:id="0">
    <w:p w14:paraId="6AAEB5E4" w14:textId="77777777" w:rsidR="00A84FC2" w:rsidRDefault="00A84FC2" w:rsidP="00A8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7A46" w14:textId="180E082F" w:rsidR="00A84FC2" w:rsidRPr="00A84FC2" w:rsidRDefault="00A84FC2" w:rsidP="00A84FC2">
    <w:pPr>
      <w:pStyle w:val="Hlavika"/>
      <w:jc w:val="right"/>
      <w:rPr>
        <w:sz w:val="22"/>
        <w:szCs w:val="22"/>
      </w:rPr>
    </w:pPr>
    <w:r w:rsidRPr="00A84FC2">
      <w:rPr>
        <w:sz w:val="22"/>
        <w:szCs w:val="22"/>
      </w:rPr>
      <w:t>Príloha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AD2"/>
    <w:multiLevelType w:val="hybridMultilevel"/>
    <w:tmpl w:val="5944D7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203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C2"/>
    <w:rsid w:val="001A2506"/>
    <w:rsid w:val="001D62CE"/>
    <w:rsid w:val="003179B5"/>
    <w:rsid w:val="0056289B"/>
    <w:rsid w:val="005C4916"/>
    <w:rsid w:val="00A84F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0BEE3"/>
  <w15:chartTrackingRefBased/>
  <w15:docId w15:val="{0BB86807-BE37-43CB-9140-41CD8409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FC2"/>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A84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A84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84FC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84FC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84FC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84FC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84FC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84FC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84FC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84FC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A84FC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84FC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84FC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84FC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84FC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84FC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84FC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84FC2"/>
    <w:rPr>
      <w:rFonts w:eastAsiaTheme="majorEastAsia" w:cstheme="majorBidi"/>
      <w:color w:val="272727" w:themeColor="text1" w:themeTint="D8"/>
    </w:rPr>
  </w:style>
  <w:style w:type="paragraph" w:styleId="Nzov">
    <w:name w:val="Title"/>
    <w:basedOn w:val="Normlny"/>
    <w:next w:val="Normlny"/>
    <w:link w:val="NzovChar"/>
    <w:uiPriority w:val="10"/>
    <w:qFormat/>
    <w:rsid w:val="00A84FC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84FC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84FC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84FC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84FC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84FC2"/>
    <w:rPr>
      <w:i/>
      <w:iCs/>
      <w:color w:val="404040" w:themeColor="text1" w:themeTint="BF"/>
    </w:rPr>
  </w:style>
  <w:style w:type="paragraph" w:styleId="Odsekzoznamu">
    <w:name w:val="List Paragraph"/>
    <w:basedOn w:val="Normlny"/>
    <w:uiPriority w:val="34"/>
    <w:qFormat/>
    <w:rsid w:val="00A84FC2"/>
    <w:pPr>
      <w:ind w:left="720"/>
      <w:contextualSpacing/>
    </w:pPr>
  </w:style>
  <w:style w:type="character" w:styleId="Intenzvnezvraznenie">
    <w:name w:val="Intense Emphasis"/>
    <w:basedOn w:val="Predvolenpsmoodseku"/>
    <w:uiPriority w:val="21"/>
    <w:qFormat/>
    <w:rsid w:val="00A84FC2"/>
    <w:rPr>
      <w:i/>
      <w:iCs/>
      <w:color w:val="2F5496" w:themeColor="accent1" w:themeShade="BF"/>
    </w:rPr>
  </w:style>
  <w:style w:type="paragraph" w:styleId="Zvraznencitcia">
    <w:name w:val="Intense Quote"/>
    <w:basedOn w:val="Normlny"/>
    <w:next w:val="Normlny"/>
    <w:link w:val="ZvraznencitciaChar"/>
    <w:uiPriority w:val="30"/>
    <w:qFormat/>
    <w:rsid w:val="00A84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84FC2"/>
    <w:rPr>
      <w:i/>
      <w:iCs/>
      <w:color w:val="2F5496" w:themeColor="accent1" w:themeShade="BF"/>
    </w:rPr>
  </w:style>
  <w:style w:type="character" w:styleId="Zvraznenodkaz">
    <w:name w:val="Intense Reference"/>
    <w:basedOn w:val="Predvolenpsmoodseku"/>
    <w:uiPriority w:val="32"/>
    <w:qFormat/>
    <w:rsid w:val="00A84FC2"/>
    <w:rPr>
      <w:b/>
      <w:bCs/>
      <w:smallCaps/>
      <w:color w:val="2F5496" w:themeColor="accent1" w:themeShade="BF"/>
      <w:spacing w:val="5"/>
    </w:rPr>
  </w:style>
  <w:style w:type="table" w:customStyle="1" w:styleId="Mriekatabuky1">
    <w:name w:val="Mriežka tabuľky1"/>
    <w:basedOn w:val="Normlnatabuka"/>
    <w:next w:val="Mriekatabuky"/>
    <w:uiPriority w:val="59"/>
    <w:rsid w:val="00A84FC2"/>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
    <w:name w:val="Table Grid"/>
    <w:basedOn w:val="Normlnatabuka"/>
    <w:uiPriority w:val="39"/>
    <w:rsid w:val="00A8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84FC2"/>
    <w:pPr>
      <w:tabs>
        <w:tab w:val="center" w:pos="4536"/>
        <w:tab w:val="right" w:pos="9072"/>
      </w:tabs>
    </w:pPr>
  </w:style>
  <w:style w:type="character" w:customStyle="1" w:styleId="HlavikaChar">
    <w:name w:val="Hlavička Char"/>
    <w:basedOn w:val="Predvolenpsmoodseku"/>
    <w:link w:val="Hlavika"/>
    <w:uiPriority w:val="99"/>
    <w:rsid w:val="00A84FC2"/>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A84FC2"/>
    <w:pPr>
      <w:tabs>
        <w:tab w:val="center" w:pos="4536"/>
        <w:tab w:val="right" w:pos="9072"/>
      </w:tabs>
    </w:pPr>
  </w:style>
  <w:style w:type="character" w:customStyle="1" w:styleId="PtaChar">
    <w:name w:val="Päta Char"/>
    <w:basedOn w:val="Predvolenpsmoodseku"/>
    <w:link w:val="Pta"/>
    <w:uiPriority w:val="99"/>
    <w:rsid w:val="00A84FC2"/>
    <w:rPr>
      <w:rFonts w:ascii="Garamond" w:eastAsia="Times New Roman" w:hAnsi="Garamond"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Morvayová Alena</dc:creator>
  <cp:keywords/>
  <dc:description/>
  <cp:lastModifiedBy>Morvayová Alena</cp:lastModifiedBy>
  <cp:revision>2</cp:revision>
  <dcterms:created xsi:type="dcterms:W3CDTF">2025-11-05T10:31:00Z</dcterms:created>
  <dcterms:modified xsi:type="dcterms:W3CDTF">2025-11-06T09:14:00Z</dcterms:modified>
</cp:coreProperties>
</file>