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77777777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A5F520F" w14:textId="07251981" w:rsidR="008D3FC3" w:rsidRPr="00983BD4" w:rsidRDefault="00B92011" w:rsidP="00983BD4">
      <w:pPr>
        <w:pStyle w:val="Zkladntext"/>
        <w:ind w:left="15"/>
        <w:jc w:val="both"/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136331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služby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295C84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295C84" w:rsidRPr="00295C84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„</w:t>
      </w:r>
      <w:r w:rsidR="00136331" w:rsidRPr="00136331">
        <w:rPr>
          <w:rFonts w:ascii="Segoe UI" w:eastAsiaTheme="minorEastAsia" w:hAnsi="Segoe UI" w:cs="Segoe UI"/>
          <w:b/>
          <w:bCs/>
          <w:snapToGrid w:val="0"/>
          <w:sz w:val="22"/>
          <w:szCs w:val="22"/>
          <w:lang w:val="fr-FR" w:eastAsia="en-US"/>
        </w:rPr>
        <w:t>Zajištění bezpečnostní služby v objektu Azylového donu Na Liščině 338/2, Ostrava – Hrušov</w:t>
      </w:r>
      <w:r w:rsidR="00136331" w:rsidRPr="00136331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“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D8BE" w14:textId="77777777" w:rsidR="00A7234E" w:rsidRDefault="00A7234E" w:rsidP="008D3FC3">
      <w:pPr>
        <w:spacing w:after="0" w:line="240" w:lineRule="auto"/>
      </w:pPr>
      <w:r>
        <w:separator/>
      </w:r>
    </w:p>
  </w:endnote>
  <w:endnote w:type="continuationSeparator" w:id="0">
    <w:p w14:paraId="11570220" w14:textId="77777777" w:rsidR="00A7234E" w:rsidRDefault="00A7234E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4A9F" w14:textId="77777777" w:rsidR="00A7234E" w:rsidRDefault="00A7234E" w:rsidP="008D3FC3">
      <w:pPr>
        <w:spacing w:after="0" w:line="240" w:lineRule="auto"/>
      </w:pPr>
      <w:r>
        <w:separator/>
      </w:r>
    </w:p>
  </w:footnote>
  <w:footnote w:type="continuationSeparator" w:id="0">
    <w:p w14:paraId="325717C9" w14:textId="77777777" w:rsidR="00A7234E" w:rsidRDefault="00A7234E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D7FF" w14:textId="23556FE0" w:rsidR="006D6044" w:rsidRPr="009E7C15" w:rsidRDefault="006D6044" w:rsidP="006D6044">
    <w:pPr>
      <w:pStyle w:val="Zhlav"/>
      <w:tabs>
        <w:tab w:val="clear" w:pos="4536"/>
        <w:tab w:val="clear" w:pos="9072"/>
        <w:tab w:val="left" w:pos="3015"/>
      </w:tabs>
      <w:rPr>
        <w:rFonts w:ascii="Palatino Linotype" w:hAnsi="Palatino Linotype" w:cs="Arial"/>
        <w:b/>
        <w:noProof/>
        <w:color w:val="003C69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9548D" wp14:editId="60683E68">
          <wp:simplePos x="0" y="0"/>
          <wp:positionH relativeFrom="page">
            <wp:align>left</wp:align>
          </wp:positionH>
          <wp:positionV relativeFrom="paragraph">
            <wp:posOffset>-278130</wp:posOffset>
          </wp:positionV>
          <wp:extent cx="2895600" cy="819150"/>
          <wp:effectExtent l="0" t="0" r="0" b="0"/>
          <wp:wrapNone/>
          <wp:docPr id="15176644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</w:t>
    </w:r>
  </w:p>
  <w:p w14:paraId="4A851BF9" w14:textId="481C3CB6" w:rsidR="00A473C1" w:rsidRDefault="00A473C1" w:rsidP="006D6044">
    <w:pPr>
      <w:pStyle w:val="Zhlav"/>
      <w:tabs>
        <w:tab w:val="clear" w:pos="4536"/>
        <w:tab w:val="clear" w:pos="9072"/>
        <w:tab w:val="left" w:pos="6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36331"/>
    <w:rsid w:val="001D74EB"/>
    <w:rsid w:val="00295C84"/>
    <w:rsid w:val="002B0E8C"/>
    <w:rsid w:val="002D28E8"/>
    <w:rsid w:val="00361239"/>
    <w:rsid w:val="00377777"/>
    <w:rsid w:val="003D248E"/>
    <w:rsid w:val="00426776"/>
    <w:rsid w:val="004623EA"/>
    <w:rsid w:val="004627E4"/>
    <w:rsid w:val="00495D57"/>
    <w:rsid w:val="004A68C0"/>
    <w:rsid w:val="004D562E"/>
    <w:rsid w:val="005255DD"/>
    <w:rsid w:val="00535AFD"/>
    <w:rsid w:val="005A4143"/>
    <w:rsid w:val="005D7321"/>
    <w:rsid w:val="006D6044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7234E"/>
    <w:rsid w:val="00AC5128"/>
    <w:rsid w:val="00B92011"/>
    <w:rsid w:val="00CC5339"/>
    <w:rsid w:val="00D0502E"/>
    <w:rsid w:val="00D9303A"/>
    <w:rsid w:val="00E127CB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Jelenová Lucie</cp:lastModifiedBy>
  <cp:revision>2</cp:revision>
  <dcterms:created xsi:type="dcterms:W3CDTF">2025-11-03T19:17:00Z</dcterms:created>
  <dcterms:modified xsi:type="dcterms:W3CDTF">2025-11-03T19:17:00Z</dcterms:modified>
</cp:coreProperties>
</file>