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11" w:line="240" w:lineRule="auto"/>
        <w:ind w:left="7920" w:right="-1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Vážený uchádzač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11" w:line="240" w:lineRule="auto"/>
        <w:ind w:left="318" w:right="-1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11" w:line="240" w:lineRule="auto"/>
        <w:ind w:left="0" w:right="-113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40" w:before="1" w:lineRule="auto"/>
        <w:ind w:left="0" w:firstLine="318"/>
        <w:jc w:val="both"/>
        <w:rPr>
          <w:rFonts w:ascii="Times New Roman" w:cs="Times New Roman" w:eastAsia="Times New Roman" w:hAnsi="Times New Roman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none"/>
          <w:rtl w:val="0"/>
        </w:rPr>
        <w:t xml:space="preserve">VEC: Informácia o výsledku vyhodnotenia ponúk</w:t>
      </w:r>
    </w:p>
    <w:p w:rsidR="00000000" w:rsidDel="00000000" w:rsidP="00000000" w:rsidRDefault="00000000" w:rsidRPr="00000000" w14:paraId="00000006">
      <w:pPr>
        <w:spacing w:after="240" w:lineRule="auto"/>
        <w:ind w:left="31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 súlade s ustanovením § 55 zákona č. 343/2015 Z. z. o verejnom obstarávaní a o zmene a doplnení niektorých zákonov v znení neskorších predpisov verejný obstarávateľ Bratislavské centrum služieb, Primaciálne námestie 429/1, 811 01 Bratislava – mestská časť Staré Mesto, IČO: 55365493, oznamuje výsledok vyhodnotenia ponúk predložených vo verejnom obstarávaní s názvom „Kancelársky papier“, realizovanom postupom užšej súťaže prostredníctvom informačného systému JOSEPHINE.</w:t>
      </w:r>
    </w:p>
    <w:p w:rsidR="00000000" w:rsidDel="00000000" w:rsidP="00000000" w:rsidRDefault="00000000" w:rsidRPr="00000000" w14:paraId="00000007">
      <w:pPr>
        <w:spacing w:after="240" w:lineRule="auto"/>
        <w:ind w:left="31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Oznámenie o vyhlásení verejného obstarávania bolo zverejnené v Úradnom vestníku Európskej únie dňa 13. 8. 2025 pod značkou 1363554 a vo Vestníku verejného obstarávania č. 163/2025 dňa 01. 02. 2024 pod značkou 13212 – MUT.</w:t>
      </w:r>
    </w:p>
    <w:p w:rsidR="00000000" w:rsidDel="00000000" w:rsidP="00000000" w:rsidRDefault="00000000" w:rsidRPr="00000000" w14:paraId="00000008">
      <w:pPr>
        <w:spacing w:after="240" w:lineRule="auto"/>
        <w:ind w:left="31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Verejný obstarávateľ po vyhodnotení ponúk v súlade s pravidlami hodnotenia ponúk uvedenými v súťažných podkladoch a ostatných dokumentoch k verejnému obstarávaniu určil ako úspešnú ponuku ponuku uchádzača:</w:t>
      </w:r>
    </w:p>
    <w:p w:rsidR="00000000" w:rsidDel="00000000" w:rsidP="00000000" w:rsidRDefault="00000000" w:rsidRPr="00000000" w14:paraId="00000009">
      <w:pPr>
        <w:spacing w:after="240" w:lineRule="auto"/>
        <w:ind w:left="318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Tibor Varga – TSV PAPIER, Vajanského 80, 984 01 Lučenec, Slovenská republika, IČO: 32627211.</w:t>
      </w:r>
    </w:p>
    <w:p w:rsidR="00000000" w:rsidDel="00000000" w:rsidP="00000000" w:rsidRDefault="00000000" w:rsidRPr="00000000" w14:paraId="0000000A">
      <w:pPr>
        <w:spacing w:after="240" w:lineRule="auto"/>
        <w:ind w:left="31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Ponuky ostatných uchádzačov sa v poradí hodnotenia ponúk neumiestnili na miestach, ktoré by podľa pravidiel hodnotenia ponúk boli označené ako úspešné.</w:t>
        <w:br w:type="textWrapping"/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Poradie uchádzačov</w:t>
      </w:r>
      <w:r w:rsidDel="00000000" w:rsidR="00000000" w:rsidRPr="00000000">
        <w:rPr>
          <w:rtl w:val="0"/>
        </w:rPr>
      </w:r>
    </w:p>
    <w:tbl>
      <w:tblPr>
        <w:tblStyle w:val="Table1"/>
        <w:tblW w:w="9158.0" w:type="dxa"/>
        <w:jc w:val="center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400"/>
      </w:tblPr>
      <w:tblGrid>
        <w:gridCol w:w="1625"/>
        <w:gridCol w:w="3332"/>
        <w:gridCol w:w="4201"/>
        <w:tblGridChange w:id="0">
          <w:tblGrid>
            <w:gridCol w:w="1625"/>
            <w:gridCol w:w="3332"/>
            <w:gridCol w:w="4201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2f2f2" w:val="clear"/>
            <w:tcMar>
              <w:left w:w="5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Poradie úspešnosti: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240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Uchádzač: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240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Celková cena od účastníka v EUR s DPH</w:t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5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Uchádzač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15 737,85</w:t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5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Uchádzač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16 324,56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4500"/>
        </w:tabs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Informácia podľa § 55 ods. 2 písm.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Uchádzač, ktorý sa umiestnil na prvom mieste v poradí predložil podrobnú špecifikáciu ponúkaného tovaru, ktorý splnil požiadavky na predmet zákazky. Išlo o nasledujúce tovary: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28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biely A4, 200 g/m², 250 ks/bal., COLOR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biely A4, 160 g/m², 250 ks/bal., COLOR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biely A4, 80 g/m², 500 ks/bal., GO COPY Allround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FORMAX Intenziv mix A4, 80 g/m², 500 ks/bal. (balenie 5 × 100 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biely A4, 100 g/m², 500 ks/bal., COLOR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biely A4, 80 g/m², 500 ks/bal., HYBRITE 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Kopírovací papier biely A3, 80 g/m², 500 ks/bal., GO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Výkresový papier biely A4, 190 g/m², balenie 10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Výkresový papier biely A3, 190 g/m², balenie 10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Plotrová rola biela, šírka 914 mm, dĺžka 50 m, dutinka 50 mm, 80 g/m²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Plotrová rola biela, šírka 297 mm, dĺžka 50 m, dutinka 50 mm, 80 g/m²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Plotrová rola biela, šírka 610 mm, dĺžka 50 m, dutinka 50 mm, 80 g/m²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8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Plotrová rola biela, šírka 420 mm, dĺžka 50 m, dutinka 50 mm, 80 g/m²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základe posúdenia uvedeného zoznamu verejný obstarávateľ konštatuje, že uchádzač preukázal splnenie všetkých minimálnych technických a kvalitatívnych požiadaviek stanovených verejným obstarávateľom na predmet zákazky.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Informácia podľa § 55 ods. 2 písm. c)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785"/>
        <w:gridCol w:w="2921"/>
        <w:gridCol w:w="1940"/>
        <w:gridCol w:w="1982"/>
        <w:tblGridChange w:id="0">
          <w:tblGrid>
            <w:gridCol w:w="2785"/>
            <w:gridCol w:w="2921"/>
            <w:gridCol w:w="1940"/>
            <w:gridCol w:w="19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Odberateľ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Predmet plnenia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Obdobie plnenia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Hodnota bez DPH (EUR)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RONEX WORLD s.r.o., Drienov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papiera a kancelárskych potrieb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11.01.2023 – 31.12.2023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376 344,00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KRÍDLA, s.r.o., Humenné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papiera a kancelárskych potrieb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09.01.2023 – 31.12.2023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263 754,00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RONEX WORLD s.r.o., Drienov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papiera a kancelárskych potrieb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12.01.2024 – 31.12.2024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395 719,00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KRÍDLA, s.r.o., Humenné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papiera a kancelárskych potrieb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10.01.2024 – 31.12.2024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289 127,00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Univerzita Komenského v Bratislave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kancelárskych potrieb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13.03.2024 – 13.09.2024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33 940,00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Technická univerzita v Košiciach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kancelárskych potrieb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01.01.2024 – 31.12.2024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58 050,27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Slovenská pošta, a. s.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Dodávka kancelárskych potrieb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17.08.2022 – 20.08.2024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4500"/>
              </w:tabs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789 074,78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4500"/>
        </w:tabs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lineRule="auto"/>
        <w:ind w:left="31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Poučenie:</w:t>
      </w:r>
    </w:p>
    <w:p w:rsidR="00000000" w:rsidDel="00000000" w:rsidP="00000000" w:rsidRDefault="00000000" w:rsidRPr="00000000" w14:paraId="00000049">
      <w:pPr>
        <w:spacing w:after="240" w:lineRule="auto"/>
        <w:ind w:left="31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:rsidR="00000000" w:rsidDel="00000000" w:rsidP="00000000" w:rsidRDefault="00000000" w:rsidRPr="00000000" w14:paraId="0000004A">
      <w:pPr>
        <w:tabs>
          <w:tab w:val="left" w:leader="none" w:pos="4500"/>
        </w:tabs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B">
      <w:pPr>
        <w:tabs>
          <w:tab w:val="center" w:leader="none" w:pos="7088"/>
        </w:tabs>
        <w:spacing w:after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oddelenie verejného obstarávania</w:t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9"/>
        <w:tab w:val="right" w:leader="none" w:pos="9638"/>
      </w:tabs>
      <w:spacing w:after="24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1a1a1a"/>
        <w:sz w:val="12"/>
        <w:szCs w:val="12"/>
        <w:highlight w:val="white"/>
        <w:u w:val="none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1a1a1a"/>
        <w:sz w:val="12"/>
        <w:szCs w:val="12"/>
        <w:highlight w:val="white"/>
        <w:u w:val="none"/>
        <w:vertAlign w:val="baseline"/>
        <w:rtl w:val="0"/>
      </w:rPr>
      <w:tab/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1a1a1a"/>
        <w:sz w:val="12"/>
        <w:szCs w:val="12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1a1a1a"/>
        <w:sz w:val="12"/>
        <w:szCs w:val="12"/>
        <w:highlight w:val="white"/>
        <w:u w:val="none"/>
        <w:vertAlign w:val="baseline"/>
        <w:rtl w:val="0"/>
      </w:rPr>
      <w:t xml:space="preserve"> / 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1a1a1a"/>
        <w:sz w:val="12"/>
        <w:szCs w:val="12"/>
        <w:highlight w:val="white"/>
        <w:u w:val="none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2307" cy="793983"/>
          <wp:effectExtent b="0" l="0" r="0" t="0"/>
          <wp:docPr descr="Obrázok, na ktorom je grafika, pestrofarebnosť, snímka obrazovky, kruh&#10;&#10;Obsah vygenerovaný pomocou AI môže byť nesprávny." id="1" name="image1.png"/>
          <a:graphic>
            <a:graphicData uri="http://schemas.openxmlformats.org/drawingml/2006/picture">
              <pic:pic>
                <pic:nvPicPr>
                  <pic:cNvPr descr="Obrázok, na ktorom je grafika, pestrofarebnosť, snímka obrazovky, kruh&#10;&#10;Obsah vygenerovaný pomocou AI môže byť nesprávny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307" cy="793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317"/>
    </w:pPr>
    <w:rPr>
      <w:rFonts w:ascii="Arial" w:cs="Arial" w:eastAsia="Arial" w:hAnsi="Arial"/>
      <w:b w:val="1"/>
      <w:bCs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