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519D34BC"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r w:rsidR="000649D9">
        <w:rPr>
          <w:rFonts w:ascii="Cambria" w:hAnsi="Cambria" w:cs="Arial"/>
          <w:b/>
          <w:bCs/>
          <w:sz w:val="22"/>
          <w:szCs w:val="22"/>
        </w:rPr>
        <w:t xml:space="preserve"> ZG.270.</w:t>
      </w:r>
      <w:r w:rsidR="00C42BE4">
        <w:rPr>
          <w:rFonts w:ascii="Cambria" w:hAnsi="Cambria" w:cs="Arial"/>
          <w:b/>
          <w:bCs/>
          <w:sz w:val="22"/>
          <w:szCs w:val="22"/>
        </w:rPr>
        <w:t>7</w:t>
      </w:r>
      <w:r w:rsidR="000649D9">
        <w:rPr>
          <w:rFonts w:ascii="Cambria" w:hAnsi="Cambria" w:cs="Arial"/>
          <w:b/>
          <w:bCs/>
          <w:sz w:val="22"/>
          <w:szCs w:val="22"/>
        </w:rPr>
        <w:t>.2025</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6F20BC04"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xml:space="preserve">Umowa nr </w:t>
      </w:r>
      <w:r w:rsidR="000649D9">
        <w:rPr>
          <w:rFonts w:ascii="Cambria" w:hAnsi="Cambria" w:cs="Arial"/>
          <w:b/>
          <w:sz w:val="22"/>
          <w:szCs w:val="22"/>
          <w:lang w:eastAsia="pl-PL"/>
        </w:rPr>
        <w:t>ZG.271…….</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3A1605CB"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w:t>
      </w:r>
      <w:r w:rsidR="000649D9">
        <w:rPr>
          <w:rFonts w:ascii="Cambria" w:hAnsi="Cambria" w:cs="Arial"/>
          <w:sz w:val="22"/>
          <w:szCs w:val="22"/>
          <w:lang w:eastAsia="pl-PL"/>
        </w:rPr>
        <w:t>Piasku</w:t>
      </w:r>
      <w:r w:rsidRPr="002202D1">
        <w:rPr>
          <w:rFonts w:ascii="Cambria" w:hAnsi="Cambria" w:cs="Arial"/>
          <w:sz w:val="22"/>
          <w:szCs w:val="22"/>
          <w:lang w:eastAsia="pl-PL"/>
        </w:rPr>
        <w:t xml:space="preserve">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658F0C2B"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Skarbem Państwa – Państwowym Gospodarstwem Leśnym Lasy Państwowe Nadleśnictwem </w:t>
      </w:r>
      <w:r w:rsidR="000649D9">
        <w:rPr>
          <w:rFonts w:ascii="Cambria" w:hAnsi="Cambria" w:cs="Arial"/>
          <w:sz w:val="22"/>
          <w:szCs w:val="22"/>
          <w:lang w:eastAsia="pl-PL"/>
        </w:rPr>
        <w:t>Kobiór</w:t>
      </w:r>
      <w:r w:rsidRPr="002202D1">
        <w:rPr>
          <w:rFonts w:ascii="Cambria" w:hAnsi="Cambria" w:cs="Arial"/>
          <w:sz w:val="22"/>
          <w:szCs w:val="22"/>
          <w:lang w:eastAsia="pl-PL"/>
        </w:rPr>
        <w:t xml:space="preserve"> z siedzibą w </w:t>
      </w:r>
      <w:r w:rsidR="000649D9">
        <w:rPr>
          <w:rFonts w:ascii="Cambria" w:hAnsi="Cambria" w:cs="Arial"/>
          <w:sz w:val="22"/>
          <w:szCs w:val="22"/>
          <w:lang w:eastAsia="pl-PL"/>
        </w:rPr>
        <w:t>Piasku</w:t>
      </w:r>
      <w:r w:rsidRPr="002202D1">
        <w:rPr>
          <w:rFonts w:ascii="Cambria" w:hAnsi="Cambria" w:cs="Arial"/>
          <w:sz w:val="22"/>
          <w:szCs w:val="22"/>
          <w:lang w:eastAsia="pl-PL"/>
        </w:rPr>
        <w:t>_ („Zamawiający”)</w:t>
      </w:r>
    </w:p>
    <w:p w14:paraId="55ED8691" w14:textId="216585DC"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ul. </w:t>
      </w:r>
      <w:r w:rsidR="000649D9">
        <w:rPr>
          <w:rFonts w:ascii="Cambria" w:hAnsi="Cambria" w:cs="Arial"/>
          <w:sz w:val="22"/>
          <w:szCs w:val="22"/>
          <w:lang w:eastAsia="pl-PL"/>
        </w:rPr>
        <w:t>Katowicka 141, 43-211 Piasek</w:t>
      </w:r>
    </w:p>
    <w:p w14:paraId="1450437E" w14:textId="21148446"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NIP </w:t>
      </w:r>
      <w:r w:rsidR="000649D9">
        <w:rPr>
          <w:rFonts w:ascii="Cambria" w:hAnsi="Cambria" w:cs="Arial"/>
          <w:sz w:val="22"/>
          <w:szCs w:val="22"/>
          <w:lang w:eastAsia="pl-PL"/>
        </w:rPr>
        <w:t>646 032 68 29</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lastRenderedPageBreak/>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4858AD60" w14:textId="77777777" w:rsidR="00E37C10" w:rsidRPr="00EB6989" w:rsidRDefault="00E37C10" w:rsidP="00E37C10">
      <w:pPr>
        <w:suppressAutoHyphens w:val="0"/>
        <w:spacing w:before="120"/>
        <w:jc w:val="center"/>
        <w:outlineLvl w:val="0"/>
        <w:rPr>
          <w:rFonts w:ascii="Cambria" w:hAnsi="Cambria" w:cs="Arial"/>
          <w:b/>
          <w:color w:val="000000"/>
          <w:sz w:val="22"/>
          <w:szCs w:val="22"/>
          <w:lang w:eastAsia="pl-PL"/>
        </w:rPr>
      </w:pPr>
      <w:r w:rsidRPr="00EB6989">
        <w:rPr>
          <w:rFonts w:ascii="Cambria" w:hAnsi="Cambria" w:cs="Arial"/>
          <w:b/>
          <w:color w:val="000000"/>
          <w:sz w:val="22"/>
          <w:szCs w:val="22"/>
          <w:lang w:eastAsia="pl-PL"/>
        </w:rPr>
        <w:t>§ 9</w:t>
      </w:r>
      <w:r w:rsidRPr="00EB6989">
        <w:rPr>
          <w:rFonts w:ascii="Cambria" w:hAnsi="Cambria" w:cs="Arial"/>
          <w:b/>
          <w:color w:val="000000"/>
          <w:sz w:val="22"/>
          <w:szCs w:val="22"/>
          <w:lang w:eastAsia="pl-PL"/>
        </w:rPr>
        <w:br/>
        <w:t>Podwykonawstwo</w:t>
      </w:r>
    </w:p>
    <w:p w14:paraId="0D001172" w14:textId="77777777" w:rsidR="00E37C10" w:rsidRPr="00EB6989" w:rsidRDefault="00E37C10" w:rsidP="00E37C10">
      <w:pPr>
        <w:numPr>
          <w:ilvl w:val="0"/>
          <w:numId w:val="15"/>
        </w:numPr>
        <w:spacing w:before="120"/>
        <w:ind w:left="567" w:hanging="567"/>
        <w:jc w:val="both"/>
        <w:rPr>
          <w:rFonts w:ascii="Cambria" w:hAnsi="Cambria" w:cs="Arial"/>
          <w:sz w:val="22"/>
          <w:szCs w:val="22"/>
        </w:rPr>
      </w:pPr>
      <w:r w:rsidRPr="00EB6989">
        <w:rPr>
          <w:rFonts w:ascii="Cambria" w:hAnsi="Cambria" w:cs="Arial"/>
          <w:sz w:val="22"/>
          <w:szCs w:val="22"/>
        </w:rPr>
        <w:t xml:space="preserve">W zakresie, w jakim Wykonawca, na podstawie kryteriów oceny ofert zawartych w SWZ, zobowiązał się do </w:t>
      </w:r>
      <w:r w:rsidRPr="00EB6989">
        <w:rPr>
          <w:rFonts w:ascii="Cambria" w:hAnsi="Cambria" w:cs="Arial"/>
          <w:bCs/>
          <w:sz w:val="22"/>
          <w:szCs w:val="22"/>
        </w:rPr>
        <w:t xml:space="preserve">samodzielnego wykonywania kluczowych elementów (części) zamówienia, określonych przez Zamawiającego w SWZ, </w:t>
      </w:r>
      <w:r w:rsidRPr="00EB6989">
        <w:rPr>
          <w:rFonts w:ascii="Cambria" w:hAnsi="Cambria" w:cs="Arial"/>
          <w:sz w:val="22"/>
          <w:szCs w:val="22"/>
        </w:rPr>
        <w:t>Wykonawca gwarantuje, że samodzielnie wykona te elementy Przedmiotu Umowy</w:t>
      </w:r>
      <w:r w:rsidRPr="00EB6989">
        <w:rPr>
          <w:rFonts w:ascii="Cambria" w:hAnsi="Cambria" w:cs="Arial"/>
          <w:bCs/>
          <w:sz w:val="22"/>
          <w:szCs w:val="22"/>
        </w:rPr>
        <w:t>, tj. bez udziału podwykonawców</w:t>
      </w:r>
      <w:r w:rsidRPr="00EB6989">
        <w:rPr>
          <w:rFonts w:ascii="Cambria" w:hAnsi="Cambria" w:cs="Arial"/>
          <w:sz w:val="22"/>
          <w:szCs w:val="22"/>
        </w:rPr>
        <w:t xml:space="preserve"> („Obowiązek Samodzielnej Realizacji”). </w:t>
      </w:r>
    </w:p>
    <w:p w14:paraId="56AA0686" w14:textId="7137F93F" w:rsidR="00E37C10" w:rsidRPr="00EB6989" w:rsidRDefault="00E37C10" w:rsidP="00E37C10">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EB6989">
        <w:rPr>
          <w:rFonts w:ascii="Cambria" w:eastAsia="Calibri" w:hAnsi="Cambria" w:cs="Arial"/>
          <w:sz w:val="22"/>
          <w:szCs w:val="22"/>
          <w:lang w:eastAsia="en-US"/>
        </w:rPr>
        <w:t>Wykonawca jest uprawniony do realizacji Przedmiotu Umowy przy pomocy podwykonawców</w:t>
      </w:r>
      <w:r w:rsidR="00412CDB">
        <w:rPr>
          <w:rFonts w:ascii="Cambria" w:eastAsia="Calibri" w:hAnsi="Cambria" w:cs="Arial"/>
          <w:sz w:val="22"/>
          <w:szCs w:val="22"/>
          <w:lang w:eastAsia="en-US"/>
        </w:rPr>
        <w:t xml:space="preserve">, za wyjątkiem sytuacji opisanej w </w:t>
      </w:r>
      <w:r w:rsidR="00412CDB" w:rsidRPr="00412CDB">
        <w:rPr>
          <w:rFonts w:ascii="Cambria" w:hAnsi="Cambria" w:cs="Arial"/>
          <w:bCs/>
          <w:color w:val="000000"/>
          <w:sz w:val="22"/>
          <w:szCs w:val="22"/>
          <w:lang w:eastAsia="pl-PL"/>
        </w:rPr>
        <w:t>§ 9 pkt 1.</w:t>
      </w:r>
      <w:r w:rsidRPr="00EB6989">
        <w:rPr>
          <w:rFonts w:ascii="Cambria" w:eastAsia="Calibri" w:hAnsi="Cambria" w:cs="Arial"/>
          <w:sz w:val="22"/>
          <w:szCs w:val="22"/>
          <w:lang w:eastAsia="en-US"/>
        </w:rPr>
        <w:t xml:space="preserve">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3C920CA" w14:textId="77777777" w:rsidR="00E37C10" w:rsidRPr="00EB6989" w:rsidRDefault="00E37C10" w:rsidP="00E37C10">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B6989">
        <w:rPr>
          <w:rFonts w:ascii="Cambria" w:eastAsia="Calibri" w:hAnsi="Cambria" w:cs="Arial"/>
          <w:sz w:val="22"/>
          <w:szCs w:val="22"/>
          <w:lang w:eastAsia="en-US"/>
        </w:rPr>
        <w:t xml:space="preserve">1) </w:t>
      </w:r>
      <w:r w:rsidRPr="00EB6989">
        <w:rPr>
          <w:rFonts w:ascii="Cambria" w:eastAsia="Calibri" w:hAnsi="Cambria" w:cs="Arial"/>
          <w:sz w:val="22"/>
          <w:szCs w:val="22"/>
          <w:lang w:eastAsia="en-US"/>
        </w:rPr>
        <w:tab/>
        <w:t xml:space="preserve">zdolności technicznej do wykonania planowanego do powierzenia podwykonawcy zakresu rzeczowego, </w:t>
      </w:r>
    </w:p>
    <w:p w14:paraId="65FBC49D" w14:textId="77777777" w:rsidR="00E37C10" w:rsidRPr="00EB6989" w:rsidRDefault="00E37C10" w:rsidP="00E37C10">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B6989">
        <w:rPr>
          <w:rFonts w:ascii="Cambria" w:eastAsia="Calibri" w:hAnsi="Cambria" w:cs="Arial"/>
          <w:sz w:val="22"/>
          <w:szCs w:val="22"/>
          <w:lang w:eastAsia="en-US"/>
        </w:rPr>
        <w:t xml:space="preserve">2) </w:t>
      </w:r>
      <w:r w:rsidRPr="00EB6989">
        <w:rPr>
          <w:rFonts w:ascii="Cambria" w:eastAsia="Calibri" w:hAnsi="Cambria" w:cs="Arial"/>
          <w:sz w:val="22"/>
          <w:szCs w:val="22"/>
          <w:lang w:eastAsia="en-US"/>
        </w:rPr>
        <w:tab/>
        <w:t>dysponowania personelem umożliwiającym podwykonawcy realizację planowanego do powierzenia zakresu rzeczowego,</w:t>
      </w:r>
    </w:p>
    <w:p w14:paraId="06B2B612" w14:textId="77777777" w:rsidR="00E37C10" w:rsidRPr="00EB6989" w:rsidRDefault="00E37C10" w:rsidP="00E37C10">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B6989">
        <w:rPr>
          <w:rFonts w:ascii="Cambria" w:eastAsia="Calibri" w:hAnsi="Cambria" w:cs="Arial"/>
          <w:sz w:val="22"/>
          <w:szCs w:val="22"/>
          <w:lang w:eastAsia="en-US"/>
        </w:rPr>
        <w:t xml:space="preserve">3) </w:t>
      </w:r>
      <w:r w:rsidRPr="00EB6989">
        <w:rPr>
          <w:rFonts w:ascii="Cambria" w:eastAsia="Calibri" w:hAnsi="Cambria" w:cs="Arial"/>
          <w:sz w:val="22"/>
          <w:szCs w:val="22"/>
          <w:lang w:eastAsia="en-US"/>
        </w:rPr>
        <w:tab/>
        <w:t>sytuacji finansowej, w jakiej znajduje się podwykonawca,</w:t>
      </w:r>
    </w:p>
    <w:p w14:paraId="10FF8DC2" w14:textId="77777777" w:rsidR="00E37C10" w:rsidRPr="00EB6989" w:rsidRDefault="00E37C10" w:rsidP="00E37C10">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B6989">
        <w:rPr>
          <w:rFonts w:ascii="Cambria" w:eastAsia="Calibri" w:hAnsi="Cambria" w:cs="Arial"/>
          <w:sz w:val="22"/>
          <w:szCs w:val="22"/>
          <w:lang w:eastAsia="en-US"/>
        </w:rPr>
        <w:t>4)</w:t>
      </w:r>
      <w:r w:rsidRPr="00EB6989">
        <w:rPr>
          <w:rFonts w:ascii="Cambria" w:eastAsia="Calibri" w:hAnsi="Cambria" w:cs="Arial"/>
          <w:sz w:val="22"/>
          <w:szCs w:val="22"/>
          <w:lang w:eastAsia="en-US"/>
        </w:rPr>
        <w:tab/>
      </w:r>
      <w:r w:rsidRPr="00EB6989">
        <w:rPr>
          <w:rFonts w:ascii="Cambria" w:hAnsi="Cambria"/>
          <w:iCs/>
          <w:color w:val="000000"/>
          <w:sz w:val="22"/>
          <w:szCs w:val="22"/>
        </w:rPr>
        <w:t>osób wykonujących czynności wchodzące w skład przedmiotu zamówienia, do których odnosi się Obowiązek Zatrudnienia, zgodnie z zasadami udokumentowania Obowiązku Zatrudnienia w sposób określony w § 8 ust. 4.</w:t>
      </w:r>
    </w:p>
    <w:p w14:paraId="0C2D8F60" w14:textId="06D568E5" w:rsidR="0013110C" w:rsidRPr="002202D1" w:rsidRDefault="00E37C10" w:rsidP="002A64CE">
      <w:pPr>
        <w:shd w:val="clear" w:color="auto" w:fill="FFFFFF" w:themeFill="background1"/>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sidR="002A64CE">
        <w:rPr>
          <w:rFonts w:ascii="Cambria" w:eastAsia="Calibri" w:hAnsi="Cambria" w:cs="Arial"/>
          <w:sz w:val="22"/>
          <w:szCs w:val="22"/>
          <w:lang w:eastAsia="en-US"/>
        </w:rPr>
        <w:t xml:space="preserve">    </w:t>
      </w:r>
      <w:r w:rsidRPr="00EB6989">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w:t>
      </w:r>
      <w:r w:rsidRPr="00EB6989">
        <w:rPr>
          <w:rFonts w:ascii="Cambria" w:eastAsia="Calibri" w:hAnsi="Cambria" w:cs="Arial"/>
          <w:sz w:val="22"/>
          <w:szCs w:val="22"/>
          <w:lang w:eastAsia="en-US"/>
        </w:rPr>
        <w:lastRenderedPageBreak/>
        <w:t>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 xml:space="preserve">wraz ze </w:t>
      </w:r>
      <w:r w:rsidRPr="002202D1">
        <w:rPr>
          <w:rFonts w:ascii="Cambria" w:hAnsi="Cambria" w:cs="Arial"/>
          <w:sz w:val="22"/>
          <w:szCs w:val="22"/>
          <w:lang w:eastAsia="pl-PL"/>
        </w:rPr>
        <w:lastRenderedPageBreak/>
        <w:t>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xml:space="preserve">, wstępnie określone na podstawie Oferty </w:t>
      </w:r>
      <w:r w:rsidRPr="002202D1">
        <w:rPr>
          <w:rFonts w:ascii="Cambria" w:hAnsi="Cambria" w:cs="Arial"/>
          <w:bCs/>
          <w:sz w:val="22"/>
          <w:szCs w:val="22"/>
          <w:lang w:eastAsia="pl-PL"/>
        </w:rPr>
        <w:lastRenderedPageBreak/>
        <w:t>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xml:space="preserve">) zawartym w wykazie </w:t>
      </w:r>
      <w:r w:rsidRPr="002202D1">
        <w:rPr>
          <w:rFonts w:ascii="Cambria" w:hAnsi="Cambria" w:cs="Arial"/>
          <w:bCs/>
          <w:sz w:val="22"/>
          <w:szCs w:val="22"/>
          <w:lang w:eastAsia="pl-PL"/>
        </w:rPr>
        <w:lastRenderedPageBreak/>
        <w:t>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lastRenderedPageBreak/>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00693329" w:rsidRPr="002202D1">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56554948" w14:textId="77777777" w:rsidR="00BE27CB" w:rsidRDefault="0013110C" w:rsidP="00BE27CB">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7E654741" w14:textId="77777777" w:rsidR="00BE27CB" w:rsidRDefault="00BE27CB" w:rsidP="00BE27CB">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BE27CB">
        <w:rPr>
          <w:rFonts w:ascii="Cambria" w:hAnsi="Cambria" w:cs="Arial"/>
          <w:sz w:val="22"/>
          <w:szCs w:val="22"/>
        </w:rPr>
        <w:t>za pierwszy przypadek naruszenia Obowiązku Samodzielnej Realizacji - w wysokości 5.000 zł;</w:t>
      </w:r>
    </w:p>
    <w:p w14:paraId="1EDC93C3" w14:textId="4D01C0F7" w:rsidR="00BE27CB" w:rsidRDefault="00BE27CB" w:rsidP="00BE27CB">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BE27CB">
        <w:rPr>
          <w:rFonts w:ascii="Cambria" w:hAnsi="Cambria" w:cs="Arial"/>
          <w:sz w:val="22"/>
          <w:szCs w:val="22"/>
        </w:rPr>
        <w:t>każdy kolejny przypadek naruszenia Obowiązku Samodzielnej Realizacji - w wysokości procentu Wynagrodzenia odpowiadającego wartości procentowej kryterium oceny ofert „</w:t>
      </w:r>
      <w:r w:rsidRPr="00BE27CB">
        <w:rPr>
          <w:rFonts w:ascii="Cambria" w:hAnsi="Cambria" w:cs="Arial"/>
          <w:bCs/>
          <w:sz w:val="22"/>
          <w:szCs w:val="22"/>
        </w:rPr>
        <w:t>Samodzielna realizacja kluczowych elementów (części) zamówienia</w:t>
      </w:r>
      <w:r w:rsidRPr="00BE27CB">
        <w:rPr>
          <w:rFonts w:ascii="Cambria" w:hAnsi="Cambria" w:cs="Arial"/>
          <w:sz w:val="22"/>
          <w:szCs w:val="22"/>
        </w:rPr>
        <w:t>” określonej w SWZ;</w:t>
      </w:r>
    </w:p>
    <w:p w14:paraId="66D05762" w14:textId="4ECDF010" w:rsidR="00DA2130" w:rsidRPr="006210C9" w:rsidRDefault="00DA2130" w:rsidP="00DA213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color w:val="000000" w:themeColor="text1"/>
          <w:sz w:val="22"/>
          <w:szCs w:val="22"/>
          <w:lang w:eastAsia="pl-PL"/>
        </w:rPr>
      </w:pPr>
      <w:r w:rsidRPr="006210C9">
        <w:rPr>
          <w:rFonts w:ascii="Cambria" w:hAnsi="Cambria" w:cs="Arial"/>
          <w:color w:val="000000" w:themeColor="text1"/>
          <w:sz w:val="22"/>
          <w:szCs w:val="22"/>
          <w:lang w:eastAsia="pl-PL"/>
        </w:rPr>
        <w:t xml:space="preserve">za każdy </w:t>
      </w:r>
      <w:r w:rsidR="006210C9" w:rsidRPr="006210C9">
        <w:rPr>
          <w:rFonts w:ascii="Cambria" w:hAnsi="Cambria" w:cs="Arial"/>
          <w:color w:val="000000" w:themeColor="text1"/>
          <w:sz w:val="22"/>
          <w:szCs w:val="22"/>
          <w:lang w:eastAsia="pl-PL"/>
        </w:rPr>
        <w:t>przypadek wykonywania usług przez osobę nie posiadającą wymaganych na podstawie umowy  lub przepisów prawa kwalifikacji i uprawnień – 3 000 zł</w:t>
      </w:r>
    </w:p>
    <w:p w14:paraId="4AD4F539" w14:textId="77777777" w:rsidR="00DA2130" w:rsidRPr="00BE27CB" w:rsidRDefault="00DA2130" w:rsidP="00DA2130">
      <w:pPr>
        <w:pStyle w:val="Akapitzlist"/>
        <w:shd w:val="clear" w:color="auto" w:fill="FFFFFF" w:themeFill="background1"/>
        <w:suppressAutoHyphens w:val="0"/>
        <w:spacing w:before="120"/>
        <w:ind w:left="1134"/>
        <w:contextualSpacing w:val="0"/>
        <w:jc w:val="both"/>
        <w:rPr>
          <w:rFonts w:ascii="Cambria" w:hAnsi="Cambria" w:cs="Arial"/>
          <w:sz w:val="22"/>
          <w:szCs w:val="22"/>
          <w:lang w:eastAsia="pl-PL"/>
        </w:rPr>
      </w:pPr>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lastRenderedPageBreak/>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3E92066D"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F76F75">
        <w:rPr>
          <w:rFonts w:ascii="Cambria" w:hAnsi="Cambria" w:cs="Arial"/>
          <w:sz w:val="22"/>
          <w:szCs w:val="22"/>
          <w:lang w:eastAsia="pl-PL"/>
        </w:rPr>
        <w:t>200 000</w:t>
      </w:r>
      <w:r w:rsidRPr="002202D1">
        <w:rPr>
          <w:rFonts w:ascii="Cambria" w:hAnsi="Cambria" w:cs="Arial"/>
          <w:sz w:val="22"/>
          <w:szCs w:val="22"/>
          <w:lang w:eastAsia="pl-PL"/>
        </w:rPr>
        <w:t xml:space="preserve">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t>
      </w:r>
      <w:r w:rsidRPr="002202D1">
        <w:rPr>
          <w:rFonts w:ascii="Cambria" w:hAnsi="Cambria" w:cs="Arial"/>
          <w:sz w:val="22"/>
          <w:szCs w:val="22"/>
          <w:lang w:eastAsia="pl-PL"/>
        </w:rPr>
        <w:lastRenderedPageBreak/>
        <w:t>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 xml:space="preserve">wartości wskaźników cen towarów i usług konsumpcyjnych ogółem za poprzedni kwartał („Wskaźnik GUS”), ogłoszonych w formie </w:t>
      </w:r>
      <w:r w:rsidRPr="002202D1">
        <w:rPr>
          <w:rFonts w:ascii="Cambria" w:eastAsia="Calibri" w:hAnsi="Cambria" w:cs="Calibri Light"/>
          <w:sz w:val="22"/>
          <w:szCs w:val="22"/>
          <w:lang w:eastAsia="en-US"/>
        </w:rPr>
        <w:lastRenderedPageBreak/>
        <w:t>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lastRenderedPageBreak/>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205C8528"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r>
      <w:r w:rsidR="00F76F75">
        <w:rPr>
          <w:rFonts w:ascii="Cambria" w:hAnsi="Cambria" w:cs="Arial"/>
          <w:sz w:val="22"/>
          <w:szCs w:val="22"/>
          <w:lang w:eastAsia="pl-PL"/>
        </w:rPr>
        <w:t>43-211 Piasek, ul. Katowicka 141</w:t>
      </w:r>
    </w:p>
    <w:p w14:paraId="1BC8DF88" w14:textId="16B7F7F8"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hyperlink r:id="rId8" w:history="1">
        <w:r w:rsidR="00F76F75" w:rsidRPr="006F2F58">
          <w:rPr>
            <w:rStyle w:val="Hipercze"/>
            <w:rFonts w:ascii="Cambria" w:hAnsi="Cambria" w:cs="Arial"/>
            <w:sz w:val="22"/>
            <w:szCs w:val="22"/>
            <w:lang w:eastAsia="pl-PL"/>
          </w:rPr>
          <w:t>kobior@katowice.lasy.gov.pl</w:t>
        </w:r>
      </w:hyperlink>
      <w:r w:rsidR="00F76F75">
        <w:rPr>
          <w:rFonts w:ascii="Cambria" w:hAnsi="Cambria" w:cs="Arial"/>
          <w:sz w:val="22"/>
          <w:szCs w:val="22"/>
          <w:lang w:eastAsia="pl-PL"/>
        </w:rPr>
        <w:t xml:space="preserve"> </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0E8CADC8"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29BD413C"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28A85B88"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0182A1FA"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2D0F2AE3"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598B6B9B"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6495DF39"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22BFECFC"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0BB0B40C" w14:textId="77777777" w:rsidR="00F76F75" w:rsidRDefault="00F76F75"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4FB417B0" w14:textId="37F34BD3" w:rsidR="0013110C" w:rsidRPr="002202D1" w:rsidRDefault="0013110C" w:rsidP="00F76F75">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cs="Arial"/>
          <w:b/>
          <w:color w:val="000000"/>
          <w:sz w:val="22"/>
          <w:szCs w:val="22"/>
          <w:lang w:eastAsia="pl-PL"/>
        </w:rPr>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0D1DB614" w14:textId="30E0EA0E" w:rsidR="0013110C" w:rsidRPr="00F76F75" w:rsidRDefault="0013110C" w:rsidP="00F76F75">
      <w:pPr>
        <w:shd w:val="clear" w:color="auto" w:fill="FFFFFF" w:themeFill="background1"/>
        <w:tabs>
          <w:tab w:val="left" w:pos="1134"/>
        </w:tabs>
        <w:suppressAutoHyphens w:val="0"/>
        <w:spacing w:before="120"/>
        <w:rPr>
          <w:rFonts w:ascii="Cambria" w:hAnsi="Cambria" w:cs="Arial"/>
          <w:color w:val="000000"/>
          <w:sz w:val="22"/>
          <w:szCs w:val="22"/>
          <w:lang w:eastAsia="pl-PL"/>
        </w:rPr>
      </w:pPr>
    </w:p>
    <w:sectPr w:rsidR="0013110C" w:rsidRPr="00F76F75">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0640" w14:textId="77777777" w:rsidR="00685813" w:rsidRDefault="00685813">
      <w:r>
        <w:separator/>
      </w:r>
    </w:p>
  </w:endnote>
  <w:endnote w:type="continuationSeparator" w:id="0">
    <w:p w14:paraId="216EA061" w14:textId="77777777" w:rsidR="00685813" w:rsidRDefault="0068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2CBF" w14:textId="77777777" w:rsidR="00685813" w:rsidRDefault="00685813">
      <w:r>
        <w:separator/>
      </w:r>
    </w:p>
  </w:footnote>
  <w:footnote w:type="continuationSeparator" w:id="0">
    <w:p w14:paraId="67D13670" w14:textId="77777777" w:rsidR="00685813" w:rsidRDefault="0068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49D9"/>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6A0C"/>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4CE"/>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2CDB"/>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38A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0C9"/>
    <w:rsid w:val="00621BF3"/>
    <w:rsid w:val="00622369"/>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5813"/>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86F"/>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19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208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2286"/>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7CB"/>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2BE4"/>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072"/>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06B1"/>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130"/>
    <w:rsid w:val="00DA2974"/>
    <w:rsid w:val="00DA3F3B"/>
    <w:rsid w:val="00DA433C"/>
    <w:rsid w:val="00DA572B"/>
    <w:rsid w:val="00DA7204"/>
    <w:rsid w:val="00DA76AA"/>
    <w:rsid w:val="00DB0780"/>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37C10"/>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6F75"/>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7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kobior@katowice.lasy.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12221</Words>
  <Characters>73332</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2024-08-14T07:10:00Z</cp:lastPrinted>
  <dcterms:created xsi:type="dcterms:W3CDTF">2025-12-02T09:25:00Z</dcterms:created>
  <dcterms:modified xsi:type="dcterms:W3CDTF">2025-12-02T09:25:00Z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