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B8" w:rsidRPr="0017175B" w:rsidRDefault="006F41B8" w:rsidP="006F41B8">
      <w:pPr>
        <w:pStyle w:val="Nadpis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0" w:after="0"/>
        <w:ind w:left="0" w:firstLine="0"/>
        <w:rPr>
          <w:rFonts w:ascii="Calibri" w:eastAsia="Times New Roman" w:hAnsi="Calibri" w:cs="Calibri"/>
          <w:b/>
          <w:color w:val="auto"/>
          <w:sz w:val="24"/>
          <w:szCs w:val="24"/>
          <w:lang w:eastAsia="sk-SK"/>
        </w:rPr>
      </w:pPr>
      <w:r w:rsidRPr="0017175B">
        <w:rPr>
          <w:rFonts w:ascii="Calibri" w:eastAsia="Times New Roman" w:hAnsi="Calibri" w:cs="Calibri"/>
          <w:b/>
          <w:color w:val="auto"/>
          <w:sz w:val="24"/>
          <w:szCs w:val="24"/>
          <w:lang w:eastAsia="sk-SK"/>
        </w:rPr>
        <w:t xml:space="preserve">PRÍLOHA Č. </w:t>
      </w:r>
      <w:r>
        <w:rPr>
          <w:rFonts w:ascii="Calibri" w:eastAsia="Times New Roman" w:hAnsi="Calibri" w:cs="Calibri"/>
          <w:b/>
          <w:color w:val="auto"/>
          <w:sz w:val="24"/>
          <w:szCs w:val="24"/>
          <w:lang w:eastAsia="sk-SK"/>
        </w:rPr>
        <w:t>11</w:t>
      </w:r>
      <w:r w:rsidRPr="0017175B">
        <w:rPr>
          <w:rFonts w:ascii="Calibri" w:eastAsia="Times New Roman" w:hAnsi="Calibri" w:cs="Calibri"/>
          <w:b/>
          <w:color w:val="auto"/>
          <w:sz w:val="24"/>
          <w:szCs w:val="24"/>
          <w:lang w:eastAsia="sk-SK"/>
        </w:rPr>
        <w:t xml:space="preserve"> SÚŤAŽNÝCH PODKLADOV</w:t>
      </w:r>
    </w:p>
    <w:p w:rsidR="006F41B8" w:rsidRPr="0017175B" w:rsidRDefault="006F41B8" w:rsidP="006F41B8"/>
    <w:p w:rsidR="006F41B8" w:rsidRPr="0017175B" w:rsidRDefault="006F41B8" w:rsidP="006F41B8">
      <w:pPr>
        <w:pStyle w:val="Nadpis2"/>
        <w:spacing w:before="0" w:after="0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17175B">
        <w:rPr>
          <w:rFonts w:asciiTheme="minorHAnsi" w:hAnsiTheme="minorHAnsi" w:cstheme="minorHAnsi"/>
          <w:b/>
          <w:bCs/>
          <w:color w:val="000000" w:themeColor="text1"/>
        </w:rPr>
        <w:t xml:space="preserve">ČESTNÉ VYHLÁSENIE </w:t>
      </w:r>
      <w:r>
        <w:rPr>
          <w:rFonts w:asciiTheme="minorHAnsi" w:hAnsiTheme="minorHAnsi" w:cstheme="minorHAnsi"/>
          <w:b/>
          <w:bCs/>
          <w:color w:val="000000" w:themeColor="text1"/>
        </w:rPr>
        <w:t>UCHÁDZAČA</w:t>
      </w:r>
    </w:p>
    <w:p w:rsidR="006F41B8" w:rsidRPr="002257A6" w:rsidRDefault="006F41B8" w:rsidP="006F41B8">
      <w:pPr>
        <w:contextualSpacing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 tom, že sa na uchádzača a jeho subdodávateľov nevzťahujú medzinárodné sankcie</w:t>
      </w:r>
    </w:p>
    <w:p w:rsidR="006F41B8" w:rsidRDefault="006F41B8" w:rsidP="006F41B8">
      <w:pPr>
        <w:jc w:val="both"/>
        <w:rPr>
          <w:rFonts w:asciiTheme="minorHAnsi" w:hAnsiTheme="minorHAnsi" w:cstheme="minorHAnsi"/>
        </w:rPr>
      </w:pPr>
    </w:p>
    <w:p w:rsidR="00D966FE" w:rsidRPr="006F41B8" w:rsidRDefault="006F41B8" w:rsidP="006F41B8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7D36">
        <w:rPr>
          <w:rFonts w:asciiTheme="minorHAnsi" w:hAnsiTheme="minorHAnsi" w:cstheme="minorHAnsi"/>
        </w:rPr>
        <w:t>Týmto ako uchádzač</w:t>
      </w:r>
      <w:r w:rsidRPr="00AB7D36">
        <w:rPr>
          <w:rFonts w:asciiTheme="minorHAnsi" w:hAnsiTheme="minorHAnsi" w:cstheme="minorHAnsi"/>
          <w:vertAlign w:val="superscript"/>
        </w:rPr>
        <w:footnoteReference w:id="1"/>
      </w:r>
      <w:r w:rsidRPr="00AB7D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 rámci verejného obstarávania s názvom </w:t>
      </w:r>
      <w:r w:rsidRPr="003D1E93">
        <w:rPr>
          <w:rFonts w:cstheme="minorHAnsi"/>
          <w:b/>
          <w:color w:val="548DD4"/>
        </w:rPr>
        <w:t>„</w:t>
      </w:r>
      <w:r w:rsidR="001C4455" w:rsidRPr="001C4455">
        <w:rPr>
          <w:rFonts w:cstheme="minorHAnsi"/>
          <w:b/>
          <w:color w:val="548DD4"/>
        </w:rPr>
        <w:t>Prevádzka a rozvoj informačného systému "Digitálny tachograf", dodávka a personalizácia čipových kariet do digitálnych tachografov</w:t>
      </w:r>
      <w:r w:rsidRPr="00A36BCC">
        <w:rPr>
          <w:rFonts w:cstheme="minorHAnsi"/>
          <w:b/>
          <w:color w:val="548DD4"/>
        </w:rPr>
        <w:t>“</w:t>
      </w:r>
      <w:r>
        <w:rPr>
          <w:rFonts w:cstheme="minorHAnsi"/>
          <w:b/>
          <w:color w:val="548DD4"/>
        </w:rPr>
        <w:t xml:space="preserve"> </w:t>
      </w:r>
      <w:r w:rsidR="00D966FE" w:rsidRPr="006F41B8">
        <w:rPr>
          <w:rFonts w:asciiTheme="minorHAnsi" w:eastAsia="Times New Roman" w:hAnsiTheme="minorHAnsi" w:cstheme="minorHAnsi"/>
          <w:color w:val="222222"/>
          <w:lang w:eastAsia="sk-SK"/>
        </w:rPr>
        <w:t>vyhlasuje, že</w:t>
      </w:r>
    </w:p>
    <w:p w:rsidR="00D966FE" w:rsidRPr="006F41B8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v spoločnosti, ktorú zastupujem a ktorá vykonáva plnenie zákazky, nepatrí k osobám uvedeným v prílohe č. 1 nariadenia Rady (EÚ) č. 269/2014 zo 17. marca 2014 o reštriktívnych opatreniach vzhľadom na konanie narúšajúce alebo ohrozujúce územnú celistvosť, zvrchovanosť a nezávislosť Ukrajiny v znení doplnenom v zmysle vykonávacieho nariadenia Rady (EÚ) č. 2022/581 z 8.apríla 2022 (ďalej len „Osoby na sankčných zoznamoch“). Zároveň vyhlasujem, že nie je osobou, subjektom alebo orgánom akýmkoľvek spôsobom spojeným, vlastneným alebo kontrolovaným Osobou na sankčnom zozname podľa citovaného vyk</w:t>
      </w:r>
      <w:r w:rsidR="006F41B8">
        <w:rPr>
          <w:rFonts w:asciiTheme="minorHAnsi" w:eastAsia="Times New Roman" w:hAnsiTheme="minorHAnsi" w:cstheme="minorHAnsi"/>
          <w:color w:val="222222"/>
          <w:lang w:eastAsia="sk-SK"/>
        </w:rPr>
        <w:t>onávacieho nariadenie Rady (EÚ);</w:t>
      </w:r>
    </w:p>
    <w:p w:rsidR="00D966FE" w:rsidRPr="006F41B8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 Predovšetkým vyhlasujem, že:</w:t>
      </w:r>
    </w:p>
    <w:p w:rsidR="00D966FE" w:rsidRPr="006F41B8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D966FE" w:rsidRPr="006F41B8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:rsidR="00D966FE" w:rsidRPr="006F41B8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D966FE" w:rsidRPr="006F41B8" w:rsidRDefault="00D966FE" w:rsidP="00D966FE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subdodávatelia, dodávatelia alebo subjekty, na ktorých kapacity sa dodávateľ, ktorého zastupujem, spoliehajú subjekty uvedené v písmenách a) až c) nemajú účasť v</w:t>
      </w:r>
      <w:r w:rsidR="006F41B8">
        <w:rPr>
          <w:rFonts w:asciiTheme="minorHAnsi" w:eastAsia="Times New Roman" w:hAnsiTheme="minorHAnsi" w:cstheme="minorHAnsi"/>
          <w:color w:val="222222"/>
          <w:lang w:eastAsia="sk-SK"/>
        </w:rPr>
        <w:t>yššiu ako 10 % hodnoty zákazky.</w:t>
      </w:r>
    </w:p>
    <w:p w:rsidR="00D966FE" w:rsidRPr="006F41B8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Theme="minorHAnsi" w:eastAsia="Times New Roman" w:hAnsiTheme="minorHAnsi" w:cstheme="minorHAnsi"/>
          <w:color w:val="222222"/>
          <w:lang w:eastAsia="sk-SK"/>
        </w:rPr>
      </w:pPr>
      <w:r w:rsidRPr="006F41B8">
        <w:rPr>
          <w:rFonts w:asciiTheme="minorHAnsi" w:eastAsia="Times New Roman" w:hAnsiTheme="minorHAnsi" w:cstheme="minorHAnsi"/>
          <w:color w:val="222222"/>
          <w:lang w:eastAsia="sk-SK"/>
        </w:rPr>
        <w:t>Zároveň čestne vyhlasujem, že táto ponuka/žiadosť o účasť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D966FE" w:rsidRPr="00082DD2" w:rsidRDefault="00D966FE" w:rsidP="00D96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082DD2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 </w:t>
      </w:r>
    </w:p>
    <w:tbl>
      <w:tblPr>
        <w:tblW w:w="85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5962"/>
      </w:tblGrid>
      <w:tr w:rsidR="006F41B8" w:rsidRPr="000F49E3" w:rsidTr="003E437A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iCs/>
                <w:sz w:val="21"/>
                <w:szCs w:val="21"/>
                <w:highlight w:val="yellow"/>
              </w:rPr>
              <w:t>doplniť</w:t>
            </w:r>
            <w:bookmarkStart w:id="0" w:name="_GoBack"/>
            <w:bookmarkEnd w:id="0"/>
          </w:p>
        </w:tc>
      </w:tr>
      <w:tr w:rsidR="006F41B8" w:rsidRPr="000F49E3" w:rsidTr="003E437A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bCs/>
                <w:iCs/>
                <w:sz w:val="21"/>
                <w:szCs w:val="21"/>
              </w:rPr>
            </w:pPr>
            <w:r w:rsidRPr="000F49E3">
              <w:rPr>
                <w:rFonts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6F41B8" w:rsidRPr="000F49E3" w:rsidTr="003E437A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bCs/>
                <w:iCs/>
                <w:sz w:val="21"/>
                <w:szCs w:val="21"/>
              </w:rPr>
            </w:pPr>
            <w:r w:rsidRPr="000F49E3">
              <w:rPr>
                <w:rFonts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6F41B8" w:rsidRPr="000F49E3" w:rsidTr="003E437A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bCs/>
                <w:iCs/>
                <w:sz w:val="21"/>
                <w:szCs w:val="21"/>
              </w:rPr>
            </w:pPr>
            <w:r w:rsidRPr="000F49E3">
              <w:rPr>
                <w:rFonts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</w:p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  <w:r w:rsidRPr="000F49E3">
              <w:rPr>
                <w:rFonts w:cs="Calibri"/>
                <w:iCs/>
                <w:sz w:val="21"/>
                <w:szCs w:val="21"/>
                <w:highlight w:val="yellow"/>
              </w:rPr>
              <w:t>doplniť</w:t>
            </w:r>
          </w:p>
          <w:p w:rsidR="006F41B8" w:rsidRPr="000F49E3" w:rsidRDefault="006F41B8" w:rsidP="003E437A">
            <w:pPr>
              <w:contextualSpacing/>
              <w:rPr>
                <w:rFonts w:cs="Calibri"/>
                <w:iCs/>
                <w:sz w:val="21"/>
                <w:szCs w:val="21"/>
              </w:rPr>
            </w:pPr>
          </w:p>
        </w:tc>
      </w:tr>
    </w:tbl>
    <w:p w:rsidR="00864B01" w:rsidRDefault="004F35E7" w:rsidP="001A5297">
      <w:pPr>
        <w:shd w:val="clear" w:color="auto" w:fill="FFFFFF"/>
        <w:spacing w:before="144" w:after="0" w:line="240" w:lineRule="auto"/>
        <w:jc w:val="both"/>
      </w:pPr>
    </w:p>
    <w:sectPr w:rsidR="0086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5E7" w:rsidRDefault="004F35E7" w:rsidP="006F41B8">
      <w:pPr>
        <w:spacing w:after="0" w:line="240" w:lineRule="auto"/>
      </w:pPr>
      <w:r>
        <w:separator/>
      </w:r>
    </w:p>
  </w:endnote>
  <w:endnote w:type="continuationSeparator" w:id="0">
    <w:p w:rsidR="004F35E7" w:rsidRDefault="004F35E7" w:rsidP="006F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5E7" w:rsidRDefault="004F35E7" w:rsidP="006F41B8">
      <w:pPr>
        <w:spacing w:after="0" w:line="240" w:lineRule="auto"/>
      </w:pPr>
      <w:r>
        <w:separator/>
      </w:r>
    </w:p>
  </w:footnote>
  <w:footnote w:type="continuationSeparator" w:id="0">
    <w:p w:rsidR="004F35E7" w:rsidRDefault="004F35E7" w:rsidP="006F41B8">
      <w:pPr>
        <w:spacing w:after="0" w:line="240" w:lineRule="auto"/>
      </w:pPr>
      <w:r>
        <w:continuationSeparator/>
      </w:r>
    </w:p>
  </w:footnote>
  <w:footnote w:id="1">
    <w:p w:rsidR="006F41B8" w:rsidRPr="002257A6" w:rsidRDefault="006F41B8" w:rsidP="006F41B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i/>
          <w:color w:val="000000"/>
          <w:sz w:val="16"/>
          <w:szCs w:val="16"/>
        </w:rPr>
      </w:pPr>
      <w:r w:rsidRPr="002257A6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2257A6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2257A6">
        <w:rPr>
          <w:rFonts w:asciiTheme="minorHAnsi" w:hAnsiTheme="minorHAnsi" w:cstheme="minorHAnsi"/>
          <w:b/>
          <w:i/>
          <w:color w:val="000000"/>
          <w:sz w:val="16"/>
          <w:szCs w:val="16"/>
        </w:rPr>
        <w:t xml:space="preserve">V prípade skupiny dodávateľov je potrebné predložiť za všetkých jej členov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4716"/>
    <w:multiLevelType w:val="hybridMultilevel"/>
    <w:tmpl w:val="A5F66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5DB5"/>
    <w:multiLevelType w:val="hybridMultilevel"/>
    <w:tmpl w:val="5282A3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350F0"/>
    <w:multiLevelType w:val="hybridMultilevel"/>
    <w:tmpl w:val="3F16B6EE"/>
    <w:lvl w:ilvl="0" w:tplc="E488CBD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DED"/>
    <w:multiLevelType w:val="hybridMultilevel"/>
    <w:tmpl w:val="0CFEEAA2"/>
    <w:lvl w:ilvl="0" w:tplc="D65ADB5C">
      <w:numFmt w:val="bullet"/>
      <w:lvlText w:val="·"/>
      <w:lvlJc w:val="left"/>
      <w:pPr>
        <w:ind w:left="408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FE"/>
    <w:rsid w:val="001A5297"/>
    <w:rsid w:val="001C4455"/>
    <w:rsid w:val="003936EA"/>
    <w:rsid w:val="004F35E7"/>
    <w:rsid w:val="006F41B8"/>
    <w:rsid w:val="0084330A"/>
    <w:rsid w:val="00D05088"/>
    <w:rsid w:val="00D10AD6"/>
    <w:rsid w:val="00D966FE"/>
    <w:rsid w:val="00DC7938"/>
    <w:rsid w:val="00E2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9F060-88F3-4E85-B9D7-828AD06E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66FE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6F41B8"/>
    <w:pPr>
      <w:keepNext/>
      <w:keepLines/>
      <w:spacing w:before="160" w:after="80" w:line="240" w:lineRule="auto"/>
      <w:ind w:left="357" w:hanging="357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1"/>
    <w:unhideWhenUsed/>
    <w:qFormat/>
    <w:rsid w:val="006F41B8"/>
    <w:pPr>
      <w:keepNext/>
      <w:keepLines/>
      <w:spacing w:before="80" w:after="40" w:line="240" w:lineRule="auto"/>
      <w:ind w:left="357" w:hanging="357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F4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5Char">
    <w:name w:val="Nadpis 5 Char"/>
    <w:basedOn w:val="Predvolenpsmoodseku"/>
    <w:link w:val="Nadpis5"/>
    <w:uiPriority w:val="1"/>
    <w:rsid w:val="006F41B8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Odsekzoznamu">
    <w:name w:val="List Paragraph"/>
    <w:basedOn w:val="Normlny"/>
    <w:uiPriority w:val="34"/>
    <w:qFormat/>
    <w:rsid w:val="006F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MDVSR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Meľo, Matej</dc:creator>
  <cp:keywords/>
  <dc:description/>
  <cp:lastModifiedBy>Mydlová, Petra</cp:lastModifiedBy>
  <cp:revision>6</cp:revision>
  <dcterms:created xsi:type="dcterms:W3CDTF">2025-08-07T11:48:00Z</dcterms:created>
  <dcterms:modified xsi:type="dcterms:W3CDTF">2025-12-17T13:07:00Z</dcterms:modified>
</cp:coreProperties>
</file>