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87" w:rsidRPr="00120A7A" w:rsidRDefault="00DA5287" w:rsidP="00DA5287">
      <w:pPr>
        <w:jc w:val="both"/>
        <w:rPr>
          <w:b/>
          <w:szCs w:val="22"/>
          <w:u w:val="single"/>
          <w:lang w:eastAsia="en-US"/>
        </w:rPr>
      </w:pPr>
      <w:bookmarkStart w:id="0" w:name="_Toc464648816"/>
      <w:bookmarkStart w:id="1" w:name="_Ref36800177"/>
      <w:bookmarkStart w:id="2" w:name="_GoBack"/>
      <w:r w:rsidRPr="00DA5287">
        <w:rPr>
          <w:rFonts w:eastAsia="Calibri"/>
          <w:b/>
          <w:szCs w:val="22"/>
          <w:lang w:eastAsia="en-US"/>
        </w:rPr>
        <w:t>Príloha č. 7 – Opis predmetu zákazky</w:t>
      </w:r>
    </w:p>
    <w:bookmarkEnd w:id="2"/>
    <w:p w:rsidR="00DA5287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Objednávateľ</w:t>
      </w:r>
      <w:r w:rsidRPr="00120A7A">
        <w:rPr>
          <w:rFonts w:eastAsia="Calibri"/>
          <w:szCs w:val="22"/>
          <w:lang w:eastAsia="en-US"/>
        </w:rPr>
        <w:t xml:space="preserve"> na základe zákona  č.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 xml:space="preserve">461/2007 Z. z. </w:t>
      </w:r>
      <w:r>
        <w:rPr>
          <w:rFonts w:eastAsia="Calibri"/>
          <w:szCs w:val="22"/>
          <w:lang w:eastAsia="en-US"/>
        </w:rPr>
        <w:t>riadi celoštátny systém vydávania kariet do záznamových zariadení (ďalej len „</w:t>
      </w:r>
      <w:r w:rsidRPr="00DC4C94">
        <w:rPr>
          <w:rFonts w:eastAsia="Calibri"/>
          <w:b/>
          <w:szCs w:val="22"/>
          <w:lang w:eastAsia="en-US"/>
        </w:rPr>
        <w:t>čipová</w:t>
      </w:r>
      <w:r>
        <w:rPr>
          <w:rFonts w:eastAsia="Calibri"/>
          <w:szCs w:val="22"/>
          <w:lang w:eastAsia="en-US"/>
        </w:rPr>
        <w:t xml:space="preserve"> </w:t>
      </w:r>
      <w:r w:rsidRPr="00DC4C94">
        <w:rPr>
          <w:rFonts w:eastAsia="Calibri"/>
          <w:b/>
          <w:szCs w:val="22"/>
          <w:lang w:eastAsia="en-US"/>
        </w:rPr>
        <w:t>karta/y</w:t>
      </w:r>
      <w:r>
        <w:rPr>
          <w:rFonts w:eastAsia="Calibri"/>
          <w:szCs w:val="22"/>
          <w:lang w:eastAsia="en-US"/>
        </w:rPr>
        <w:t>“) a vedie centrálny register čipových kariet</w:t>
      </w:r>
      <w:r w:rsidRPr="00120A7A">
        <w:rPr>
          <w:rFonts w:eastAsia="Calibri"/>
          <w:szCs w:val="22"/>
          <w:lang w:eastAsia="en-US"/>
        </w:rPr>
        <w:t xml:space="preserve">. 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Objednávateľ môže podľa § 10 ods. 2 zákona č. 461/2007 Z. z. poveriť vydávaním </w:t>
      </w:r>
      <w:r>
        <w:rPr>
          <w:rFonts w:eastAsia="Calibri"/>
          <w:szCs w:val="22"/>
          <w:lang w:eastAsia="en-US"/>
        </w:rPr>
        <w:t xml:space="preserve">čipových </w:t>
      </w:r>
      <w:r w:rsidRPr="00120A7A">
        <w:rPr>
          <w:rFonts w:eastAsia="Calibri"/>
          <w:szCs w:val="22"/>
          <w:lang w:eastAsia="en-US"/>
        </w:rPr>
        <w:t>kariet jedinú fyzickú osobu – podnikateľa alebo právnickú osobu (ďalej len „</w:t>
      </w:r>
      <w:r w:rsidRPr="00152316">
        <w:rPr>
          <w:rFonts w:eastAsia="Calibri"/>
          <w:b/>
          <w:szCs w:val="22"/>
          <w:lang w:eastAsia="en-US"/>
        </w:rPr>
        <w:t>oprávnená osoba</w:t>
      </w:r>
      <w:r w:rsidRPr="00120A7A">
        <w:rPr>
          <w:rFonts w:eastAsia="Calibri"/>
          <w:szCs w:val="22"/>
          <w:lang w:eastAsia="en-US"/>
        </w:rPr>
        <w:t>“), ktorá musí spĺňať požiadavky podľa § 10 ods. 3 zákona č. 461/2007 Z. z.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Objednávateľ, ktorý je držiteľom licencie k existujúcemu Informačnému systému Digitálny tachograf (ďalej len „</w:t>
      </w:r>
      <w:r w:rsidRPr="00152316">
        <w:rPr>
          <w:rFonts w:eastAsia="Calibri"/>
          <w:b/>
          <w:szCs w:val="22"/>
          <w:lang w:eastAsia="en-US"/>
        </w:rPr>
        <w:t>IS DT</w:t>
      </w:r>
      <w:r w:rsidRPr="00120A7A">
        <w:rPr>
          <w:rFonts w:eastAsia="Calibri"/>
          <w:szCs w:val="22"/>
          <w:lang w:eastAsia="en-US"/>
        </w:rPr>
        <w:t xml:space="preserve">“), poskytne </w:t>
      </w:r>
      <w:r>
        <w:rPr>
          <w:rFonts w:eastAsia="Calibri"/>
          <w:szCs w:val="22"/>
          <w:lang w:eastAsia="en-US"/>
        </w:rPr>
        <w:t>P</w:t>
      </w:r>
      <w:r w:rsidRPr="00120A7A">
        <w:rPr>
          <w:rFonts w:eastAsia="Calibri"/>
          <w:szCs w:val="22"/>
          <w:lang w:eastAsia="en-US"/>
        </w:rPr>
        <w:t xml:space="preserve">oskytovateľovi zdrojový kód a potrebnú technickú dokumentáciu na prevádzkovanie systému  IS DT. 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Predmetom Zmluvy </w:t>
      </w:r>
      <w:r>
        <w:rPr>
          <w:rFonts w:eastAsia="Calibri"/>
          <w:szCs w:val="22"/>
          <w:lang w:eastAsia="en-US"/>
        </w:rPr>
        <w:t>sú nasledovné činnosti</w:t>
      </w:r>
      <w:r w:rsidRPr="00120A7A">
        <w:rPr>
          <w:rFonts w:eastAsia="Calibri"/>
          <w:szCs w:val="22"/>
          <w:lang w:eastAsia="en-US"/>
        </w:rPr>
        <w:t>:</w:t>
      </w:r>
    </w:p>
    <w:p w:rsidR="00DA5287" w:rsidRPr="00120A7A" w:rsidRDefault="00DA5287" w:rsidP="00DA5287">
      <w:pPr>
        <w:numPr>
          <w:ilvl w:val="0"/>
          <w:numId w:val="19"/>
        </w:numPr>
        <w:spacing w:before="120" w:after="160" w:line="259" w:lineRule="auto"/>
        <w:jc w:val="both"/>
        <w:rPr>
          <w:lang w:eastAsia="sk-SK"/>
        </w:rPr>
      </w:pPr>
      <w:bookmarkStart w:id="3" w:name="_Ref37149125"/>
      <w:r>
        <w:rPr>
          <w:lang w:eastAsia="sk-SK"/>
        </w:rPr>
        <w:t xml:space="preserve">Zabezpečenie </w:t>
      </w:r>
      <w:r w:rsidRPr="00120A7A">
        <w:rPr>
          <w:lang w:eastAsia="sk-SK"/>
        </w:rPr>
        <w:t xml:space="preserve">prevádzky IS DT podľa špecifikácie nižšie </w:t>
      </w:r>
      <w:r w:rsidRPr="00CF5D4A">
        <w:rPr>
          <w:lang w:eastAsia="sk-SK"/>
        </w:rPr>
        <w:t>(t. j. zabezpečenie potrebnej HW platformy Poskytovateľom, migrácia existujú</w:t>
      </w:r>
      <w:r w:rsidRPr="00120A7A">
        <w:rPr>
          <w:lang w:eastAsia="sk-SK"/>
        </w:rPr>
        <w:t>ceho systému na túto platformu a jeho prevádzka počas obdobia platnosti Zmluvy) – činnosti</w:t>
      </w:r>
      <w:r>
        <w:rPr>
          <w:lang w:eastAsia="sk-SK"/>
        </w:rPr>
        <w:t xml:space="preserve"> podľa písm. </w:t>
      </w:r>
      <w:r w:rsidRPr="00120A7A">
        <w:rPr>
          <w:lang w:eastAsia="sk-SK"/>
        </w:rPr>
        <w:t>A,B,C</w:t>
      </w:r>
      <w:r>
        <w:rPr>
          <w:lang w:eastAsia="sk-SK"/>
        </w:rPr>
        <w:t xml:space="preserve"> a </w:t>
      </w:r>
      <w:r w:rsidRPr="00120A7A">
        <w:rPr>
          <w:lang w:eastAsia="sk-SK"/>
        </w:rPr>
        <w:t>D</w:t>
      </w:r>
      <w:r>
        <w:rPr>
          <w:lang w:eastAsia="sk-SK"/>
        </w:rPr>
        <w:t xml:space="preserve"> tohto odseku Prílohy č. 1</w:t>
      </w:r>
      <w:r w:rsidRPr="00120A7A">
        <w:rPr>
          <w:lang w:eastAsia="sk-SK"/>
        </w:rPr>
        <w:t>.</w:t>
      </w:r>
      <w:bookmarkEnd w:id="3"/>
    </w:p>
    <w:p w:rsidR="00DA5287" w:rsidRPr="00120A7A" w:rsidRDefault="00DA5287" w:rsidP="00DA5287">
      <w:pPr>
        <w:numPr>
          <w:ilvl w:val="1"/>
          <w:numId w:val="19"/>
        </w:numPr>
        <w:spacing w:before="120" w:after="120"/>
        <w:jc w:val="both"/>
        <w:rPr>
          <w:lang w:eastAsia="sk-SK"/>
        </w:rPr>
      </w:pPr>
      <w:r w:rsidRPr="00120A7A">
        <w:rPr>
          <w:lang w:eastAsia="sk-SK"/>
        </w:rPr>
        <w:t xml:space="preserve">udržiavanie technickej platformy podľa požiadaviek </w:t>
      </w:r>
      <w:r>
        <w:rPr>
          <w:lang w:eastAsia="sk-SK"/>
        </w:rPr>
        <w:t>Objednávateľa,</w:t>
      </w:r>
    </w:p>
    <w:p w:rsidR="00DA5287" w:rsidRPr="00120A7A" w:rsidRDefault="00DA5287" w:rsidP="00DA5287">
      <w:pPr>
        <w:numPr>
          <w:ilvl w:val="1"/>
          <w:numId w:val="19"/>
        </w:numPr>
        <w:spacing w:before="120" w:after="120"/>
        <w:jc w:val="both"/>
        <w:rPr>
          <w:lang w:eastAsia="sk-SK"/>
        </w:rPr>
      </w:pPr>
      <w:r>
        <w:rPr>
          <w:lang w:eastAsia="sk-SK"/>
        </w:rPr>
        <w:t>i</w:t>
      </w:r>
      <w:r w:rsidRPr="00120A7A">
        <w:rPr>
          <w:lang w:eastAsia="sk-SK"/>
        </w:rPr>
        <w:t xml:space="preserve">nštalácia a sprevádzkovanie </w:t>
      </w:r>
      <w:r>
        <w:rPr>
          <w:lang w:eastAsia="sk-SK"/>
        </w:rPr>
        <w:t xml:space="preserve">existujúceho </w:t>
      </w:r>
      <w:r w:rsidRPr="00120A7A">
        <w:rPr>
          <w:lang w:eastAsia="sk-SK"/>
        </w:rPr>
        <w:t xml:space="preserve">IS DT, ktorý bude </w:t>
      </w:r>
      <w:r>
        <w:rPr>
          <w:lang w:eastAsia="sk-SK"/>
        </w:rPr>
        <w:t>Poskytovateľovi</w:t>
      </w:r>
      <w:r w:rsidRPr="00120A7A">
        <w:rPr>
          <w:lang w:eastAsia="sk-SK"/>
        </w:rPr>
        <w:t xml:space="preserve"> poskytnutý </w:t>
      </w:r>
      <w:r>
        <w:rPr>
          <w:lang w:eastAsia="sk-SK"/>
        </w:rPr>
        <w:t>O</w:t>
      </w:r>
      <w:r w:rsidRPr="00120A7A">
        <w:rPr>
          <w:lang w:eastAsia="sk-SK"/>
        </w:rPr>
        <w:t>bjednávateľom</w:t>
      </w:r>
      <w:r>
        <w:rPr>
          <w:lang w:eastAsia="sk-SK"/>
        </w:rPr>
        <w:t>,</w:t>
      </w:r>
    </w:p>
    <w:p w:rsidR="00DA5287" w:rsidRPr="00120A7A" w:rsidRDefault="00DA5287" w:rsidP="00DA5287">
      <w:pPr>
        <w:numPr>
          <w:ilvl w:val="1"/>
          <w:numId w:val="19"/>
        </w:numPr>
        <w:spacing w:before="120" w:after="120"/>
        <w:jc w:val="both"/>
        <w:rPr>
          <w:lang w:eastAsia="sk-SK"/>
        </w:rPr>
      </w:pPr>
      <w:r>
        <w:rPr>
          <w:lang w:eastAsia="sk-SK"/>
        </w:rPr>
        <w:t>z</w:t>
      </w:r>
      <w:r w:rsidRPr="00120A7A">
        <w:rPr>
          <w:lang w:eastAsia="sk-SK"/>
        </w:rPr>
        <w:t>abezpečenie a udržiavanie prepojenia IS DT so všetkými ostatnými systémami, s ktorými IS DT musí byť prepojený na zabezpečenie riadnej funkcionality</w:t>
      </w:r>
      <w:r>
        <w:rPr>
          <w:lang w:eastAsia="sk-SK"/>
        </w:rPr>
        <w:t>,</w:t>
      </w:r>
      <w:r w:rsidRPr="00120A7A">
        <w:rPr>
          <w:lang w:eastAsia="sk-SK"/>
        </w:rPr>
        <w:t xml:space="preserve"> </w:t>
      </w:r>
    </w:p>
    <w:p w:rsidR="00DA5287" w:rsidRPr="00120A7A" w:rsidRDefault="00DA5287" w:rsidP="00DA5287">
      <w:pPr>
        <w:numPr>
          <w:ilvl w:val="1"/>
          <w:numId w:val="19"/>
        </w:numPr>
        <w:spacing w:before="120" w:after="120"/>
        <w:jc w:val="both"/>
        <w:rPr>
          <w:lang w:eastAsia="sk-SK"/>
        </w:rPr>
      </w:pPr>
      <w:r>
        <w:rPr>
          <w:lang w:eastAsia="sk-SK"/>
        </w:rPr>
        <w:t>p</w:t>
      </w:r>
      <w:r w:rsidRPr="00120A7A">
        <w:rPr>
          <w:lang w:eastAsia="sk-SK"/>
        </w:rPr>
        <w:t>revádzka IS DT, pod čím sa rozumie:</w:t>
      </w:r>
    </w:p>
    <w:p w:rsidR="00DA5287" w:rsidRPr="00120A7A" w:rsidRDefault="00DA5287" w:rsidP="00DA5287">
      <w:pPr>
        <w:pStyle w:val="Odsekzoznamu"/>
        <w:numPr>
          <w:ilvl w:val="2"/>
          <w:numId w:val="32"/>
        </w:numPr>
        <w:spacing w:after="120"/>
        <w:ind w:left="1276"/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zabezpečenie funkčnosti a dostupnosti IS DT vrátane všetkých jeho funkcií a užívateľských rolí,</w:t>
      </w:r>
    </w:p>
    <w:p w:rsidR="00DA5287" w:rsidRDefault="00DA5287" w:rsidP="00DA5287">
      <w:pPr>
        <w:pStyle w:val="Odsekzoznamu"/>
        <w:numPr>
          <w:ilvl w:val="2"/>
          <w:numId w:val="32"/>
        </w:numPr>
        <w:spacing w:after="120"/>
        <w:ind w:left="1276"/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dodržiavanie všetkých prevádzkových a organizačno-technických požiadaviek na prevádzku IS DT.</w:t>
      </w:r>
    </w:p>
    <w:p w:rsidR="00DA5287" w:rsidRPr="00CF5D4A" w:rsidRDefault="00DA5287" w:rsidP="00DA5287">
      <w:pPr>
        <w:spacing w:after="1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(písm. A., B. C. a D. ďalej spolu aj ako „</w:t>
      </w:r>
      <w:r w:rsidRPr="00484734">
        <w:rPr>
          <w:rFonts w:eastAsia="Calibri"/>
          <w:b/>
          <w:lang w:eastAsia="en-US"/>
        </w:rPr>
        <w:t>Paušálne služby</w:t>
      </w:r>
      <w:r>
        <w:rPr>
          <w:rFonts w:eastAsia="Calibri"/>
          <w:lang w:eastAsia="en-US"/>
        </w:rPr>
        <w:t>“)</w:t>
      </w:r>
    </w:p>
    <w:p w:rsidR="00DA5287" w:rsidRPr="00120A7A" w:rsidRDefault="00DA5287" w:rsidP="00DA5287">
      <w:pPr>
        <w:numPr>
          <w:ilvl w:val="0"/>
          <w:numId w:val="19"/>
        </w:numPr>
        <w:spacing w:before="120" w:after="160" w:line="259" w:lineRule="auto"/>
        <w:jc w:val="both"/>
        <w:rPr>
          <w:lang w:eastAsia="sk-SK"/>
        </w:rPr>
      </w:pPr>
      <w:r>
        <w:rPr>
          <w:lang w:eastAsia="sk-SK"/>
        </w:rPr>
        <w:t>Z</w:t>
      </w:r>
      <w:r w:rsidRPr="00120A7A">
        <w:rPr>
          <w:lang w:eastAsia="sk-SK"/>
        </w:rPr>
        <w:t>abezpečenie súvisiacich podporných procesov, t. j. zber a overenie žiadostí od</w:t>
      </w:r>
      <w:r>
        <w:rPr>
          <w:lang w:eastAsia="sk-SK"/>
        </w:rPr>
        <w:t> </w:t>
      </w:r>
      <w:r w:rsidRPr="00120A7A">
        <w:rPr>
          <w:lang w:eastAsia="sk-SK"/>
        </w:rPr>
        <w:t xml:space="preserve">prijímateľov na zberných miestach, registrácia v IS DT, nákup, príprava a personalizácia, vydávanie  </w:t>
      </w:r>
      <w:r>
        <w:rPr>
          <w:lang w:eastAsia="sk-SK"/>
        </w:rPr>
        <w:t xml:space="preserve">čipových </w:t>
      </w:r>
      <w:r w:rsidRPr="00120A7A">
        <w:rPr>
          <w:lang w:eastAsia="sk-SK"/>
        </w:rPr>
        <w:t xml:space="preserve">kariet a ich odovzdanie prijímateľovi  – činnosti </w:t>
      </w:r>
      <w:r>
        <w:rPr>
          <w:lang w:eastAsia="sk-SK"/>
        </w:rPr>
        <w:t xml:space="preserve">podľa písm. </w:t>
      </w:r>
      <w:r w:rsidRPr="00120A7A">
        <w:rPr>
          <w:lang w:eastAsia="sk-SK"/>
        </w:rPr>
        <w:t>A</w:t>
      </w:r>
      <w:r>
        <w:rPr>
          <w:lang w:eastAsia="sk-SK"/>
        </w:rPr>
        <w:t>. a </w:t>
      </w:r>
      <w:r w:rsidRPr="00120A7A">
        <w:rPr>
          <w:lang w:eastAsia="sk-SK"/>
        </w:rPr>
        <w:t>B</w:t>
      </w:r>
      <w:r>
        <w:rPr>
          <w:lang w:eastAsia="sk-SK"/>
        </w:rPr>
        <w:t>. tohto odseku Prílohy č. 1</w:t>
      </w:r>
      <w:r w:rsidRPr="00120A7A">
        <w:rPr>
          <w:lang w:eastAsia="sk-SK"/>
        </w:rPr>
        <w:t>.</w:t>
      </w:r>
    </w:p>
    <w:p w:rsidR="00DA5287" w:rsidRPr="00120A7A" w:rsidRDefault="00DA5287" w:rsidP="00DA5287">
      <w:pPr>
        <w:numPr>
          <w:ilvl w:val="1"/>
          <w:numId w:val="19"/>
        </w:numPr>
        <w:spacing w:before="120" w:after="120"/>
        <w:ind w:left="709" w:hanging="357"/>
        <w:jc w:val="both"/>
        <w:rPr>
          <w:lang w:eastAsia="sk-SK"/>
        </w:rPr>
      </w:pPr>
      <w:r w:rsidRPr="00120A7A">
        <w:rPr>
          <w:lang w:eastAsia="sk-SK"/>
        </w:rPr>
        <w:t>vykonávanie všetkých podporných procesov a činností vrátane zabezpečenia prevádzky zberných miest – kapitola 2,</w:t>
      </w:r>
    </w:p>
    <w:p w:rsidR="00DA5287" w:rsidRPr="00120A7A" w:rsidRDefault="00DA5287" w:rsidP="00DA5287">
      <w:pPr>
        <w:numPr>
          <w:ilvl w:val="1"/>
          <w:numId w:val="19"/>
        </w:numPr>
        <w:spacing w:before="120" w:after="120"/>
        <w:ind w:left="709" w:hanging="357"/>
        <w:jc w:val="both"/>
        <w:rPr>
          <w:lang w:eastAsia="sk-SK"/>
        </w:rPr>
      </w:pPr>
      <w:r>
        <w:rPr>
          <w:lang w:eastAsia="sk-SK"/>
        </w:rPr>
        <w:t>zabezpečenie</w:t>
      </w:r>
      <w:r w:rsidRPr="00120A7A">
        <w:rPr>
          <w:lang w:eastAsia="sk-SK"/>
        </w:rPr>
        <w:t xml:space="preserve"> validáci</w:t>
      </w:r>
      <w:r>
        <w:rPr>
          <w:lang w:eastAsia="sk-SK"/>
        </w:rPr>
        <w:t>e</w:t>
      </w:r>
      <w:r w:rsidRPr="00120A7A">
        <w:rPr>
          <w:lang w:eastAsia="sk-SK"/>
        </w:rPr>
        <w:t xml:space="preserve"> čipových kariet pred ich uvedením do prevádzky (pred uvedením do použitia a aj kedykoľvek počas platnosti Zmluvy) podľa požiadaviek v kapitole 2.2 a 2.3</w:t>
      </w:r>
      <w:r>
        <w:rPr>
          <w:lang w:eastAsia="sk-SK"/>
        </w:rPr>
        <w:t xml:space="preserve"> kapitole 1 (Informačný systém Digitálny Tachograf) Prílohy č. 1</w:t>
      </w:r>
      <w:r w:rsidRPr="00120A7A">
        <w:rPr>
          <w:lang w:eastAsia="sk-SK"/>
        </w:rPr>
        <w:t>.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Za činnosti uvedené v</w:t>
      </w:r>
      <w:r>
        <w:rPr>
          <w:rFonts w:eastAsia="Calibri"/>
          <w:szCs w:val="22"/>
          <w:lang w:eastAsia="en-US"/>
        </w:rPr>
        <w:t xml:space="preserve"> bode 1 </w:t>
      </w:r>
      <w:r w:rsidRPr="00120A7A">
        <w:rPr>
          <w:rFonts w:eastAsia="Calibri"/>
          <w:szCs w:val="22"/>
          <w:lang w:eastAsia="en-US"/>
        </w:rPr>
        <w:t>písm</w:t>
      </w:r>
      <w:r>
        <w:rPr>
          <w:rFonts w:eastAsia="Calibri"/>
          <w:szCs w:val="22"/>
          <w:lang w:eastAsia="en-US"/>
        </w:rPr>
        <w:t>.</w:t>
      </w:r>
      <w:r w:rsidRPr="00120A7A">
        <w:rPr>
          <w:rFonts w:eastAsia="Calibri"/>
          <w:szCs w:val="22"/>
          <w:lang w:eastAsia="en-US"/>
        </w:rPr>
        <w:t xml:space="preserve"> A., B., C., D.</w:t>
      </w:r>
      <w:r>
        <w:rPr>
          <w:rFonts w:eastAsia="Calibri"/>
          <w:szCs w:val="22"/>
          <w:lang w:eastAsia="en-US"/>
        </w:rPr>
        <w:t xml:space="preserve"> (Paušálne služby) tejto časti Prílohy č. 1</w:t>
      </w:r>
      <w:r w:rsidRPr="00120A7A">
        <w:rPr>
          <w:rFonts w:eastAsia="Calibri"/>
          <w:szCs w:val="22"/>
          <w:lang w:eastAsia="en-US"/>
        </w:rPr>
        <w:t xml:space="preserve"> bude </w:t>
      </w:r>
      <w:r>
        <w:rPr>
          <w:rFonts w:eastAsia="Calibri"/>
          <w:szCs w:val="22"/>
          <w:lang w:eastAsia="en-US"/>
        </w:rPr>
        <w:t>O</w:t>
      </w:r>
      <w:r w:rsidRPr="00120A7A">
        <w:rPr>
          <w:rFonts w:eastAsia="Calibri"/>
          <w:szCs w:val="22"/>
          <w:lang w:eastAsia="en-US"/>
        </w:rPr>
        <w:t xml:space="preserve">bjednávateľ uhrádzať náklady spojené s prevádzkou IS DT kvartálne </w:t>
      </w:r>
      <w:r>
        <w:rPr>
          <w:rFonts w:eastAsia="Calibri"/>
          <w:szCs w:val="22"/>
          <w:lang w:eastAsia="en-US"/>
        </w:rPr>
        <w:t xml:space="preserve">od ukončenia Nultej fázy </w:t>
      </w:r>
      <w:r w:rsidRPr="00120A7A">
        <w:rPr>
          <w:rFonts w:eastAsia="Calibri"/>
          <w:szCs w:val="22"/>
          <w:lang w:eastAsia="en-US"/>
        </w:rPr>
        <w:t>po dobu účinnosti Zmluvy.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lastRenderedPageBreak/>
        <w:t>Za činnosti uvedené v</w:t>
      </w:r>
      <w:r>
        <w:rPr>
          <w:rFonts w:eastAsia="Calibri"/>
          <w:szCs w:val="22"/>
          <w:lang w:eastAsia="en-US"/>
        </w:rPr>
        <w:t xml:space="preserve"> ods. 2 </w:t>
      </w:r>
      <w:r w:rsidRPr="00120A7A">
        <w:rPr>
          <w:rFonts w:eastAsia="Calibri"/>
          <w:szCs w:val="22"/>
          <w:lang w:eastAsia="en-US"/>
        </w:rPr>
        <w:t>písm</w:t>
      </w:r>
      <w:r>
        <w:rPr>
          <w:rFonts w:eastAsia="Calibri"/>
          <w:szCs w:val="22"/>
          <w:lang w:eastAsia="en-US"/>
        </w:rPr>
        <w:t>.</w:t>
      </w:r>
      <w:r w:rsidRPr="00120A7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A. a </w:t>
      </w:r>
      <w:r w:rsidRPr="00120A7A">
        <w:rPr>
          <w:rFonts w:eastAsia="Calibri"/>
          <w:szCs w:val="22"/>
          <w:lang w:eastAsia="en-US"/>
        </w:rPr>
        <w:t>B.</w:t>
      </w:r>
      <w:r>
        <w:rPr>
          <w:rFonts w:eastAsia="Calibri"/>
          <w:szCs w:val="22"/>
          <w:lang w:eastAsia="en-US"/>
        </w:rPr>
        <w:t xml:space="preserve">  tejto časti Prílohy č. 1</w:t>
      </w:r>
      <w:r w:rsidRPr="00120A7A">
        <w:rPr>
          <w:rFonts w:eastAsia="Calibri"/>
          <w:szCs w:val="22"/>
          <w:lang w:eastAsia="en-US"/>
        </w:rPr>
        <w:t xml:space="preserve">  patrí </w:t>
      </w:r>
      <w:r>
        <w:rPr>
          <w:rFonts w:eastAsia="Calibri"/>
          <w:szCs w:val="22"/>
          <w:lang w:eastAsia="en-US"/>
        </w:rPr>
        <w:t>P</w:t>
      </w:r>
      <w:r w:rsidRPr="00120A7A">
        <w:rPr>
          <w:rFonts w:eastAsia="Calibri"/>
          <w:szCs w:val="22"/>
          <w:lang w:eastAsia="en-US"/>
        </w:rPr>
        <w:t xml:space="preserve">oskytovateľovi odplata v podobe manipulačného poplatku za jednotlivú čipovú kartu, ktorý je </w:t>
      </w:r>
      <w:r>
        <w:rPr>
          <w:rFonts w:eastAsia="Calibri"/>
          <w:szCs w:val="22"/>
          <w:lang w:eastAsia="en-US"/>
        </w:rPr>
        <w:t>P</w:t>
      </w:r>
      <w:r w:rsidRPr="00120A7A">
        <w:rPr>
          <w:rFonts w:eastAsia="Calibri"/>
          <w:szCs w:val="22"/>
          <w:lang w:eastAsia="en-US"/>
        </w:rPr>
        <w:t>oskytovateľ oprávnený vybrať od prijímateľa pri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 xml:space="preserve">podaní žiadosti o vydanie čipovej karty. 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Default="00DA5287" w:rsidP="00DA5287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Pre zamedzenie akýchkoľvek pochybností, </w:t>
      </w:r>
      <w:r>
        <w:rPr>
          <w:rFonts w:eastAsia="Calibri"/>
          <w:szCs w:val="22"/>
          <w:lang w:eastAsia="en-US"/>
        </w:rPr>
        <w:t>P</w:t>
      </w:r>
      <w:r w:rsidRPr="00120A7A">
        <w:rPr>
          <w:rFonts w:eastAsia="Calibri"/>
          <w:szCs w:val="22"/>
          <w:lang w:eastAsia="en-US"/>
        </w:rPr>
        <w:t xml:space="preserve">redmet </w:t>
      </w:r>
      <w:r>
        <w:rPr>
          <w:rFonts w:eastAsia="Calibri"/>
          <w:szCs w:val="22"/>
          <w:lang w:eastAsia="en-US"/>
        </w:rPr>
        <w:t>Z</w:t>
      </w:r>
      <w:r w:rsidRPr="00120A7A">
        <w:rPr>
          <w:rFonts w:eastAsia="Calibri"/>
          <w:szCs w:val="22"/>
          <w:lang w:eastAsia="en-US"/>
        </w:rPr>
        <w:t xml:space="preserve">mluvy sa týka poskytovania </w:t>
      </w:r>
      <w:r>
        <w:rPr>
          <w:rFonts w:eastAsia="Calibri"/>
          <w:szCs w:val="22"/>
          <w:lang w:eastAsia="en-US"/>
        </w:rPr>
        <w:t>S</w:t>
      </w:r>
      <w:r w:rsidRPr="00120A7A">
        <w:rPr>
          <w:rFonts w:eastAsia="Calibri"/>
          <w:szCs w:val="22"/>
          <w:lang w:eastAsia="en-US"/>
        </w:rPr>
        <w:t xml:space="preserve">lužieb k existujúcemu IS DT Poskytovateľom Objednávateľovi podľa </w:t>
      </w:r>
      <w:r>
        <w:rPr>
          <w:rFonts w:eastAsia="Calibri"/>
          <w:szCs w:val="22"/>
          <w:lang w:eastAsia="en-US"/>
        </w:rPr>
        <w:t>bodov</w:t>
      </w:r>
      <w:r w:rsidRPr="00120A7A">
        <w:rPr>
          <w:rFonts w:eastAsia="Calibri"/>
          <w:szCs w:val="22"/>
          <w:lang w:eastAsia="en-US"/>
        </w:rPr>
        <w:t xml:space="preserve"> 1. a 2.  </w:t>
      </w:r>
      <w:r>
        <w:rPr>
          <w:rFonts w:eastAsia="Calibri"/>
          <w:szCs w:val="22"/>
          <w:lang w:eastAsia="en-US"/>
        </w:rPr>
        <w:t>tejto časti Prílohy č. 1</w:t>
      </w:r>
      <w:r w:rsidRPr="00120A7A">
        <w:rPr>
          <w:rFonts w:eastAsia="Calibri"/>
          <w:szCs w:val="22"/>
          <w:lang w:eastAsia="en-US"/>
        </w:rPr>
        <w:t xml:space="preserve">. Použitie pojmov v kapitolách 1. až 4. </w:t>
      </w:r>
      <w:r>
        <w:rPr>
          <w:rFonts w:eastAsia="Calibri"/>
          <w:szCs w:val="22"/>
          <w:lang w:eastAsia="en-US"/>
        </w:rPr>
        <w:t>Prílohy č. 1</w:t>
      </w:r>
      <w:r w:rsidRPr="00120A7A">
        <w:rPr>
          <w:rFonts w:eastAsia="Calibri"/>
          <w:szCs w:val="22"/>
          <w:lang w:eastAsia="en-US"/>
        </w:rPr>
        <w:t xml:space="preserve"> ako „vybudovanie“, „zriadenie“ a pod. je potrebné chápať ako poskytovanie </w:t>
      </w:r>
      <w:r>
        <w:rPr>
          <w:rFonts w:eastAsia="Calibri"/>
          <w:szCs w:val="22"/>
          <w:lang w:eastAsia="en-US"/>
        </w:rPr>
        <w:t>S</w:t>
      </w:r>
      <w:r w:rsidRPr="00120A7A">
        <w:rPr>
          <w:rFonts w:eastAsia="Calibri"/>
          <w:szCs w:val="22"/>
          <w:lang w:eastAsia="en-US"/>
        </w:rPr>
        <w:t>lužieb podľa prvej vety.</w:t>
      </w:r>
    </w:p>
    <w:p w:rsidR="00DA5287" w:rsidRPr="002829FA" w:rsidRDefault="00DA5287" w:rsidP="00DA5287">
      <w:pPr>
        <w:numPr>
          <w:ilvl w:val="0"/>
          <w:numId w:val="19"/>
        </w:numPr>
        <w:spacing w:before="120" w:after="160" w:line="259" w:lineRule="auto"/>
        <w:ind w:left="284"/>
        <w:jc w:val="both"/>
        <w:rPr>
          <w:lang w:eastAsia="sk-SK"/>
        </w:rPr>
      </w:pPr>
      <w:r w:rsidRPr="002829FA">
        <w:rPr>
          <w:lang w:eastAsia="sk-SK"/>
        </w:rPr>
        <w:t>Služby na požiadavku</w:t>
      </w:r>
    </w:p>
    <w:p w:rsidR="00DA5287" w:rsidRPr="002829FA" w:rsidRDefault="00DA5287" w:rsidP="00DA5287">
      <w:pPr>
        <w:ind w:left="284"/>
        <w:jc w:val="both"/>
        <w:rPr>
          <w:lang w:eastAsia="sk-SK"/>
        </w:rPr>
      </w:pPr>
      <w:r w:rsidRPr="002829FA">
        <w:rPr>
          <w:lang w:eastAsia="sk-SK"/>
        </w:rPr>
        <w:t>Služby na požiadavku sa môžu vykonávať na IS DT najmä z nasledujúcich dôvodov:</w:t>
      </w:r>
    </w:p>
    <w:p w:rsidR="00DA5287" w:rsidRPr="002829FA" w:rsidRDefault="00DA5287" w:rsidP="00DA5287">
      <w:pPr>
        <w:numPr>
          <w:ilvl w:val="1"/>
          <w:numId w:val="19"/>
        </w:numPr>
        <w:spacing w:before="120" w:after="120"/>
        <w:ind w:left="709" w:hanging="357"/>
        <w:jc w:val="both"/>
        <w:rPr>
          <w:lang w:eastAsia="sk-SK"/>
        </w:rPr>
      </w:pPr>
      <w:r w:rsidRPr="002829FA">
        <w:rPr>
          <w:lang w:eastAsia="sk-SK"/>
        </w:rPr>
        <w:t>úprava IS DT na základe legislatívnych zmien</w:t>
      </w:r>
    </w:p>
    <w:p w:rsidR="00DA5287" w:rsidRPr="002829FA" w:rsidRDefault="00DA5287" w:rsidP="00DA5287">
      <w:pPr>
        <w:numPr>
          <w:ilvl w:val="1"/>
          <w:numId w:val="19"/>
        </w:numPr>
        <w:spacing w:before="120" w:after="120"/>
        <w:ind w:left="709" w:hanging="357"/>
        <w:jc w:val="both"/>
        <w:rPr>
          <w:lang w:eastAsia="sk-SK"/>
        </w:rPr>
      </w:pPr>
      <w:r w:rsidRPr="002829FA">
        <w:rPr>
          <w:lang w:eastAsia="sk-SK"/>
        </w:rPr>
        <w:t>úprava existujúcej funkcionality na základe odôvodenej požiadavky vyplývajúcej z aplikačnej praxe</w:t>
      </w:r>
    </w:p>
    <w:p w:rsidR="00DA5287" w:rsidRPr="00B875C6" w:rsidRDefault="00DA5287" w:rsidP="00DA5287">
      <w:pPr>
        <w:spacing w:after="160" w:line="259" w:lineRule="auto"/>
        <w:jc w:val="both"/>
        <w:rPr>
          <w:b/>
          <w:color w:val="000000"/>
          <w:sz w:val="32"/>
        </w:rPr>
      </w:pPr>
      <w:r w:rsidRPr="00DC4C94">
        <w:rPr>
          <w:rStyle w:val="normaltextrun"/>
          <w:rFonts w:eastAsia="Arial"/>
          <w:color w:val="000000" w:themeColor="text1"/>
        </w:rPr>
        <w:t>Objednávateľ si</w:t>
      </w:r>
      <w:r>
        <w:rPr>
          <w:rStyle w:val="normaltextrun"/>
          <w:rFonts w:eastAsia="Arial"/>
          <w:color w:val="000000" w:themeColor="text1"/>
        </w:rPr>
        <w:t>,</w:t>
      </w:r>
      <w:r w:rsidRPr="00DC4C94">
        <w:rPr>
          <w:rStyle w:val="normaltextrun"/>
          <w:rFonts w:eastAsia="Arial"/>
          <w:color w:val="000000" w:themeColor="text1"/>
        </w:rPr>
        <w:t xml:space="preserve"> na základe vzniknutých potrieb</w:t>
      </w:r>
      <w:r>
        <w:rPr>
          <w:rStyle w:val="normaltextrun"/>
          <w:rFonts w:eastAsia="Arial"/>
          <w:color w:val="000000" w:themeColor="text1"/>
        </w:rPr>
        <w:t xml:space="preserve">, </w:t>
      </w:r>
      <w:r w:rsidRPr="00DC4C94">
        <w:rPr>
          <w:rStyle w:val="normaltextrun"/>
          <w:rFonts w:eastAsia="Arial"/>
          <w:color w:val="000000" w:themeColor="text1"/>
        </w:rPr>
        <w:t xml:space="preserve">objedná </w:t>
      </w:r>
      <w:r>
        <w:rPr>
          <w:rStyle w:val="normaltextrun"/>
          <w:rFonts w:eastAsia="Arial"/>
          <w:color w:val="000000" w:themeColor="text1"/>
        </w:rPr>
        <w:t xml:space="preserve">u Poskytovateľa Služby formou vystavenia Objednávky v ekonomicko-informačnom systéme Objednávateľa Služby na požiadavku  </w:t>
      </w:r>
      <w:r w:rsidRPr="00DC4C94">
        <w:rPr>
          <w:rStyle w:val="normaltextrun"/>
          <w:rFonts w:eastAsia="Arial"/>
          <w:color w:val="000000" w:themeColor="text1"/>
        </w:rPr>
        <w:t>prostredníctvom jednotlivých pracovných pozícií, ktoré sú uvedené v prílohe č.</w:t>
      </w:r>
      <w:r>
        <w:rPr>
          <w:rStyle w:val="normaltextrun"/>
          <w:rFonts w:eastAsia="Arial"/>
          <w:color w:val="000000" w:themeColor="text1"/>
        </w:rPr>
        <w:t xml:space="preserve"> 2</w:t>
      </w:r>
      <w:r w:rsidRPr="00DC4C94">
        <w:rPr>
          <w:rStyle w:val="normaltextrun"/>
          <w:rFonts w:eastAsia="Arial"/>
          <w:color w:val="000000" w:themeColor="text1"/>
        </w:rPr>
        <w:t xml:space="preserve"> Zmluvy</w:t>
      </w:r>
      <w:r>
        <w:rPr>
          <w:rStyle w:val="normaltextrun"/>
          <w:rFonts w:eastAsia="Arial"/>
          <w:color w:val="000000" w:themeColor="text1"/>
        </w:rPr>
        <w:t xml:space="preserve">. </w:t>
      </w:r>
    </w:p>
    <w:p w:rsidR="00DA5287" w:rsidRPr="00120A7A" w:rsidRDefault="00DA5287" w:rsidP="00DA5287">
      <w:pPr>
        <w:keepNext/>
        <w:keepLines/>
        <w:numPr>
          <w:ilvl w:val="0"/>
          <w:numId w:val="18"/>
        </w:numPr>
        <w:spacing w:before="240" w:after="360"/>
        <w:ind w:left="431" w:hanging="431"/>
        <w:jc w:val="both"/>
        <w:outlineLvl w:val="0"/>
        <w:rPr>
          <w:b/>
          <w:color w:val="000000"/>
          <w:sz w:val="32"/>
          <w:szCs w:val="32"/>
          <w:lang w:eastAsia="en-US"/>
        </w:rPr>
      </w:pPr>
      <w:bookmarkStart w:id="4" w:name="_Ref37149179"/>
      <w:bookmarkEnd w:id="0"/>
      <w:bookmarkEnd w:id="1"/>
      <w:r w:rsidRPr="00120A7A">
        <w:rPr>
          <w:b/>
          <w:color w:val="000000"/>
          <w:sz w:val="32"/>
          <w:szCs w:val="32"/>
          <w:lang w:eastAsia="en-US"/>
        </w:rPr>
        <w:t>Informačný systém Digitálny Tachograf</w:t>
      </w:r>
      <w:bookmarkEnd w:id="4"/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 xml:space="preserve"> Úvod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IS DT slúži na evidenciu a riadenie procesov súvisiacich s vydávaním a manažmentom čipových kariet všetkých generácií, t. j. centrálny register čipových kariet, v ktorom sa vedú záznamy o čipových kartách vydaných, nájdených, odňatých a odovzdaných v Slovenskej republike.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IS DT je zabezpečený systém, v ktorom je zabezpečená ochrana integrity a autenticity údajov vymieňaných medzi čipovými kartami a záznamovým zariadením, ochrana integrity a autenticity údajov sťahovaných z čipových kariet, umožnenie stanovených zapisovacích operácií na čipovej karte len pre záznamové zariadenie, dešifrovanie určitých údajov, vylúčenie akejkoľvek možnosti falšovania údajov uložených na čipových kartách, zabránenie neoprávnenému zásahu a identifikácia každej udalosti tohto druhu.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noProof/>
          <w:szCs w:val="22"/>
          <w:lang w:eastAsia="sk-SK"/>
        </w:rPr>
        <w:lastRenderedPageBreak/>
        <w:drawing>
          <wp:inline distT="0" distB="0" distL="0" distR="0" wp14:anchorId="2D5D5119" wp14:editId="6FFCF330">
            <wp:extent cx="5760720" cy="3414409"/>
            <wp:effectExtent l="0" t="0" r="0" b="0"/>
            <wp:docPr id="2" name="Picture 1" descr="tacho_arch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ho_arch v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 xml:space="preserve"> </w:t>
      </w:r>
      <w:bookmarkStart w:id="5" w:name="_Ref36800269"/>
      <w:r w:rsidRPr="00120A7A">
        <w:rPr>
          <w:b/>
          <w:bCs/>
          <w:i/>
          <w:iCs/>
          <w:sz w:val="28"/>
          <w:szCs w:val="28"/>
          <w:lang w:eastAsia="sk-SK"/>
        </w:rPr>
        <w:t>Súčasti existujúceho Informačného systému Digitálny tachograf druhej generácie:</w:t>
      </w:r>
      <w:bookmarkEnd w:id="5"/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8"/>
          <w:szCs w:val="28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 xml:space="preserve">Aplikácia </w:t>
      </w:r>
      <w:proofErr w:type="spellStart"/>
      <w:r w:rsidRPr="00120A7A">
        <w:rPr>
          <w:b/>
          <w:bCs/>
          <w:sz w:val="26"/>
          <w:szCs w:val="26"/>
          <w:lang w:eastAsia="sk-SK"/>
        </w:rPr>
        <w:t>Card</w:t>
      </w:r>
      <w:proofErr w:type="spellEnd"/>
      <w:r w:rsidRPr="00120A7A">
        <w:rPr>
          <w:b/>
          <w:bCs/>
          <w:sz w:val="26"/>
          <w:szCs w:val="26"/>
          <w:lang w:eastAsia="sk-SK"/>
        </w:rPr>
        <w:t xml:space="preserve"> Management </w:t>
      </w:r>
      <w:proofErr w:type="spellStart"/>
      <w:r w:rsidRPr="00120A7A">
        <w:rPr>
          <w:b/>
          <w:bCs/>
          <w:sz w:val="26"/>
          <w:szCs w:val="26"/>
          <w:lang w:eastAsia="sk-SK"/>
        </w:rPr>
        <w:t>System</w:t>
      </w:r>
      <w:proofErr w:type="spellEnd"/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Aplikácia </w:t>
      </w:r>
      <w:proofErr w:type="spellStart"/>
      <w:r w:rsidRPr="00120A7A">
        <w:rPr>
          <w:rFonts w:eastAsia="Calibri"/>
          <w:szCs w:val="22"/>
          <w:lang w:eastAsia="en-US"/>
        </w:rPr>
        <w:t>Card</w:t>
      </w:r>
      <w:proofErr w:type="spellEnd"/>
      <w:r w:rsidRPr="00120A7A">
        <w:rPr>
          <w:rFonts w:eastAsia="Calibri"/>
          <w:szCs w:val="22"/>
          <w:lang w:eastAsia="en-US"/>
        </w:rPr>
        <w:t xml:space="preserve"> Management </w:t>
      </w:r>
      <w:proofErr w:type="spellStart"/>
      <w:r w:rsidRPr="00120A7A">
        <w:rPr>
          <w:rFonts w:eastAsia="Calibri"/>
          <w:szCs w:val="22"/>
          <w:lang w:eastAsia="en-US"/>
        </w:rPr>
        <w:t>System</w:t>
      </w:r>
      <w:proofErr w:type="spellEnd"/>
      <w:r w:rsidRPr="00120A7A">
        <w:rPr>
          <w:rFonts w:eastAsia="Calibri"/>
          <w:szCs w:val="22"/>
          <w:lang w:eastAsia="en-US"/>
        </w:rPr>
        <w:t xml:space="preserve"> má tieto funkcie: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zber a </w:t>
      </w:r>
      <w:r w:rsidRPr="00D042E4">
        <w:rPr>
          <w:lang w:eastAsia="sk-SK"/>
        </w:rPr>
        <w:t>spracovanie žiadostí od prijímateľov čipových kariet,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 xml:space="preserve">používateľské rozhranie </w:t>
      </w:r>
      <w:r w:rsidRPr="00D042E4">
        <w:t>na vyhľadanie a zápis údajov do príslušných  evidencií vrátane nástrojov spracovania príloh napr.: skenovanie a uloženie fotografie, podpisu a uloženie do databázy</w:t>
      </w:r>
      <w:r w:rsidRPr="00D042E4">
        <w:rPr>
          <w:lang w:eastAsia="sk-SK"/>
        </w:rPr>
        <w:t>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 xml:space="preserve">automatizovanú kontrolu existencie vydaných kariet v EÚ pomocou rozhrania API </w:t>
      </w:r>
      <w:proofErr w:type="spellStart"/>
      <w:r w:rsidRPr="00D042E4">
        <w:t>TACHOnet</w:t>
      </w:r>
      <w:proofErr w:type="spellEnd"/>
      <w:r w:rsidRPr="00D042E4">
        <w:t xml:space="preserve"> vrátane manuálnej (on-</w:t>
      </w:r>
      <w:proofErr w:type="spellStart"/>
      <w:r w:rsidRPr="00D042E4">
        <w:t>demand</w:t>
      </w:r>
      <w:proofErr w:type="spellEnd"/>
      <w:r w:rsidRPr="00D042E4">
        <w:t>) kontroly prostredníctvom používateľského rozhrania,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>podpora procesu rozhodovania o schválení alebo zamietnutí žiadostí,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>podpora riadenia procesu podpory vydávania čipových kariet, resp. riadenie životného cyklu čipovej karty (všetky procesy súvisiace s administráciou od inicializácie, prípadných zmien až po zrušenie),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>skladového hospodárstva čipových kariet,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 xml:space="preserve">zabezpečovanie získavania údajov  z registra </w:t>
      </w:r>
      <w:proofErr w:type="spellStart"/>
      <w:r w:rsidRPr="00D042E4">
        <w:t>Finstat</w:t>
      </w:r>
      <w:proofErr w:type="spellEnd"/>
      <w:r w:rsidRPr="00D042E4">
        <w:t xml:space="preserve"> pre validáciu a pred-vypĺňanie údajov právnickej osoby,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 xml:space="preserve">nástroje pre vytvorenie </w:t>
      </w:r>
      <w:proofErr w:type="spellStart"/>
      <w:r w:rsidRPr="00D042E4">
        <w:t>personalizačnej</w:t>
      </w:r>
      <w:proofErr w:type="spellEnd"/>
      <w:r w:rsidRPr="00D042E4">
        <w:t xml:space="preserve"> dávky a následné spracovanie jej výstupu,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>nástroje pre získanie údajov o aktivitách prijímateľov, stavoch čipových kariet a systému,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>odosielanie notifikácií o stave vybavenia príslušnej žiadosti,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lastRenderedPageBreak/>
        <w:t>podpora spracovania úhrady poplatku,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 xml:space="preserve">výmena údajov pre poskytovanie elektronických služieb na Webovom sídle DT prostredníctvom API, napr. autentifikácia držiteľa, pred-vypĺňanie údajov žiadosti, </w:t>
      </w:r>
    </w:p>
    <w:p w:rsidR="00DA5287" w:rsidRPr="00D042E4" w:rsidRDefault="00DA5287" w:rsidP="00DA5287">
      <w:pPr>
        <w:numPr>
          <w:ilvl w:val="0"/>
          <w:numId w:val="20"/>
        </w:numPr>
        <w:spacing w:before="120" w:after="120"/>
        <w:ind w:left="714" w:hanging="357"/>
        <w:jc w:val="both"/>
        <w:rPr>
          <w:lang w:eastAsia="sk-SK"/>
        </w:rPr>
      </w:pPr>
      <w:r w:rsidRPr="00D042E4">
        <w:t>podpora pre modul kontroly kvality a distribúcie.</w:t>
      </w:r>
    </w:p>
    <w:p w:rsidR="00DA5287" w:rsidRPr="00D042E4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D042E4">
        <w:rPr>
          <w:b/>
          <w:bCs/>
          <w:sz w:val="26"/>
          <w:szCs w:val="26"/>
          <w:lang w:eastAsia="sk-SK"/>
        </w:rPr>
        <w:t>Aplikácia Certifikačná autorita</w:t>
      </w:r>
    </w:p>
    <w:p w:rsidR="00DA5287" w:rsidRPr="00D042E4" w:rsidRDefault="00DA5287" w:rsidP="00DA5287">
      <w:pPr>
        <w:spacing w:after="120" w:line="259" w:lineRule="auto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 xml:space="preserve">Súčasťou IS DT je aj Certifikačná autorita členského štátu (ďalej aj „SK-CA“). Je to hierarchický systém so základom vytvoreným na úrovni Európskej únie (ďalej aj „EÚ“), ktorého základ tvorí európsky certifikačný orgán (ERCA </w:t>
      </w:r>
      <w:proofErr w:type="spellStart"/>
      <w:r w:rsidRPr="00D042E4">
        <w:rPr>
          <w:rFonts w:eastAsia="Calibri"/>
          <w:szCs w:val="22"/>
          <w:lang w:eastAsia="en-US"/>
        </w:rPr>
        <w:t>European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Root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Certification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Authority</w:t>
      </w:r>
      <w:proofErr w:type="spellEnd"/>
      <w:r w:rsidRPr="00D042E4">
        <w:rPr>
          <w:rFonts w:eastAsia="Calibri"/>
          <w:szCs w:val="22"/>
          <w:lang w:eastAsia="en-US"/>
        </w:rPr>
        <w:t>) nasledovaný certifikačnými orgánmi jednotlivých členských štátov EÚ.</w:t>
      </w:r>
    </w:p>
    <w:p w:rsidR="00DA5287" w:rsidRPr="00D042E4" w:rsidRDefault="00DA5287" w:rsidP="00DA5287">
      <w:pPr>
        <w:spacing w:after="120" w:line="259" w:lineRule="auto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>SK-CA realizuje vydávanie certifikátov pre čipové karty a podporu pre personalizáciu čipových kariet v časti personalizácie čipu.</w:t>
      </w:r>
    </w:p>
    <w:p w:rsidR="00DA5287" w:rsidRPr="00D042E4" w:rsidRDefault="00DA5287" w:rsidP="00DA5287">
      <w:pPr>
        <w:spacing w:after="120" w:line="259" w:lineRule="auto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 xml:space="preserve">SK-CA sa riadi zásadami definovanými v politikách National </w:t>
      </w:r>
      <w:proofErr w:type="spellStart"/>
      <w:r w:rsidRPr="00D042E4">
        <w:rPr>
          <w:rFonts w:eastAsia="Calibri"/>
          <w:szCs w:val="22"/>
          <w:lang w:eastAsia="en-US"/>
        </w:rPr>
        <w:t>Policy</w:t>
      </w:r>
      <w:proofErr w:type="spellEnd"/>
      <w:r w:rsidRPr="00D042E4">
        <w:rPr>
          <w:rFonts w:eastAsia="Calibri"/>
          <w:szCs w:val="22"/>
          <w:lang w:eastAsia="en-US"/>
        </w:rPr>
        <w:t xml:space="preserve"> of </w:t>
      </w:r>
      <w:proofErr w:type="spellStart"/>
      <w:r w:rsidRPr="00D042E4">
        <w:rPr>
          <w:rFonts w:eastAsia="Calibri"/>
          <w:szCs w:val="22"/>
          <w:lang w:eastAsia="en-US"/>
        </w:rPr>
        <w:t>Authority</w:t>
      </w:r>
      <w:proofErr w:type="spellEnd"/>
      <w:r w:rsidRPr="00D042E4">
        <w:rPr>
          <w:rFonts w:eastAsia="Calibri"/>
          <w:szCs w:val="22"/>
          <w:lang w:eastAsia="en-US"/>
        </w:rPr>
        <w:t xml:space="preserve"> of </w:t>
      </w:r>
      <w:proofErr w:type="spellStart"/>
      <w:r w:rsidRPr="00D042E4">
        <w:rPr>
          <w:rFonts w:eastAsia="Calibri"/>
          <w:szCs w:val="22"/>
          <w:lang w:eastAsia="en-US"/>
        </w:rPr>
        <w:t>the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Member</w:t>
      </w:r>
      <w:proofErr w:type="spellEnd"/>
      <w:r w:rsidRPr="00D042E4">
        <w:rPr>
          <w:rFonts w:eastAsia="Calibri"/>
          <w:szCs w:val="22"/>
          <w:lang w:eastAsia="en-US"/>
        </w:rPr>
        <w:t xml:space="preserve"> State SK-MSA </w:t>
      </w:r>
      <w:proofErr w:type="spellStart"/>
      <w:r w:rsidRPr="00D042E4">
        <w:rPr>
          <w:rFonts w:eastAsia="Calibri"/>
          <w:szCs w:val="22"/>
          <w:lang w:eastAsia="en-US"/>
        </w:rPr>
        <w:t>for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The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Information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System</w:t>
      </w:r>
      <w:proofErr w:type="spellEnd"/>
      <w:r w:rsidRPr="00D042E4">
        <w:rPr>
          <w:rFonts w:eastAsia="Calibri"/>
          <w:szCs w:val="22"/>
          <w:lang w:eastAsia="en-US"/>
        </w:rPr>
        <w:t xml:space="preserve"> of </w:t>
      </w:r>
      <w:proofErr w:type="spellStart"/>
      <w:r w:rsidRPr="00D042E4">
        <w:rPr>
          <w:rFonts w:eastAsia="Calibri"/>
          <w:szCs w:val="22"/>
          <w:lang w:eastAsia="en-US"/>
        </w:rPr>
        <w:t>Digital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Tachograph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System</w:t>
      </w:r>
      <w:proofErr w:type="spellEnd"/>
      <w:r w:rsidRPr="00D042E4">
        <w:rPr>
          <w:rFonts w:eastAsia="Calibri"/>
          <w:szCs w:val="22"/>
          <w:lang w:eastAsia="en-US"/>
        </w:rPr>
        <w:t xml:space="preserve"> in Slovak </w:t>
      </w:r>
      <w:proofErr w:type="spellStart"/>
      <w:r w:rsidRPr="00D042E4">
        <w:rPr>
          <w:rFonts w:eastAsia="Calibri"/>
          <w:szCs w:val="22"/>
          <w:lang w:eastAsia="en-US"/>
        </w:rPr>
        <w:t>Republic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Version</w:t>
      </w:r>
      <w:proofErr w:type="spellEnd"/>
      <w:r w:rsidRPr="00D042E4">
        <w:rPr>
          <w:rFonts w:eastAsia="Calibri"/>
          <w:szCs w:val="22"/>
          <w:lang w:eastAsia="en-US"/>
        </w:rPr>
        <w:t xml:space="preserve"> 1.2 a National </w:t>
      </w:r>
      <w:proofErr w:type="spellStart"/>
      <w:r w:rsidRPr="00D042E4">
        <w:rPr>
          <w:rFonts w:eastAsia="Calibri"/>
          <w:szCs w:val="22"/>
          <w:lang w:eastAsia="en-US"/>
        </w:rPr>
        <w:t>Policy</w:t>
      </w:r>
      <w:proofErr w:type="spellEnd"/>
      <w:r w:rsidRPr="00D042E4">
        <w:rPr>
          <w:rFonts w:eastAsia="Calibri"/>
          <w:szCs w:val="22"/>
          <w:lang w:eastAsia="en-US"/>
        </w:rPr>
        <w:t xml:space="preserve"> of </w:t>
      </w:r>
      <w:proofErr w:type="spellStart"/>
      <w:r w:rsidRPr="00D042E4">
        <w:rPr>
          <w:rFonts w:eastAsia="Calibri"/>
          <w:szCs w:val="22"/>
          <w:lang w:eastAsia="en-US"/>
        </w:rPr>
        <w:t>Authority</w:t>
      </w:r>
      <w:proofErr w:type="spellEnd"/>
      <w:r w:rsidRPr="00D042E4">
        <w:rPr>
          <w:rFonts w:eastAsia="Calibri"/>
          <w:szCs w:val="22"/>
          <w:lang w:eastAsia="en-US"/>
        </w:rPr>
        <w:t xml:space="preserve"> of </w:t>
      </w:r>
      <w:proofErr w:type="spellStart"/>
      <w:r w:rsidRPr="00D042E4">
        <w:rPr>
          <w:rFonts w:eastAsia="Calibri"/>
          <w:szCs w:val="22"/>
          <w:lang w:eastAsia="en-US"/>
        </w:rPr>
        <w:t>the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Member</w:t>
      </w:r>
      <w:proofErr w:type="spellEnd"/>
      <w:r w:rsidRPr="00D042E4">
        <w:rPr>
          <w:rFonts w:eastAsia="Calibri"/>
          <w:szCs w:val="22"/>
          <w:lang w:eastAsia="en-US"/>
        </w:rPr>
        <w:t xml:space="preserve"> State SK-MSA </w:t>
      </w:r>
      <w:proofErr w:type="spellStart"/>
      <w:r w:rsidRPr="00D042E4">
        <w:rPr>
          <w:rFonts w:eastAsia="Calibri"/>
          <w:szCs w:val="22"/>
          <w:lang w:eastAsia="en-US"/>
        </w:rPr>
        <w:t>for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The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Information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System</w:t>
      </w:r>
      <w:proofErr w:type="spellEnd"/>
      <w:r w:rsidRPr="00D042E4">
        <w:rPr>
          <w:rFonts w:eastAsia="Calibri"/>
          <w:szCs w:val="22"/>
          <w:lang w:eastAsia="en-US"/>
        </w:rPr>
        <w:t xml:space="preserve"> of </w:t>
      </w:r>
      <w:proofErr w:type="spellStart"/>
      <w:r w:rsidRPr="00D042E4">
        <w:rPr>
          <w:rFonts w:eastAsia="Calibri"/>
          <w:szCs w:val="22"/>
          <w:lang w:eastAsia="en-US"/>
        </w:rPr>
        <w:t>Smart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Tachograph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System</w:t>
      </w:r>
      <w:proofErr w:type="spellEnd"/>
      <w:r w:rsidRPr="00D042E4">
        <w:rPr>
          <w:rFonts w:eastAsia="Calibri"/>
          <w:szCs w:val="22"/>
          <w:lang w:eastAsia="en-US"/>
        </w:rPr>
        <w:t xml:space="preserve"> in Slovak </w:t>
      </w:r>
      <w:proofErr w:type="spellStart"/>
      <w:r w:rsidRPr="00D042E4">
        <w:rPr>
          <w:rFonts w:eastAsia="Calibri"/>
          <w:szCs w:val="22"/>
          <w:lang w:eastAsia="en-US"/>
        </w:rPr>
        <w:t>Republic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Version</w:t>
      </w:r>
      <w:proofErr w:type="spellEnd"/>
      <w:r w:rsidRPr="00D042E4">
        <w:rPr>
          <w:rFonts w:eastAsia="Calibri"/>
          <w:szCs w:val="22"/>
          <w:lang w:eastAsia="en-US"/>
        </w:rPr>
        <w:t xml:space="preserve"> 1.3, ktoré sú podriadené politikám ERCA. Aktuálne systém zastrešuje obe generácie funkčných špecifikácií, prvú </w:t>
      </w:r>
      <w:proofErr w:type="spellStart"/>
      <w:r w:rsidRPr="00D042E4">
        <w:rPr>
          <w:rFonts w:eastAsia="Calibri"/>
          <w:szCs w:val="22"/>
          <w:lang w:eastAsia="en-US"/>
        </w:rPr>
        <w:t>Digital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Tachograph</w:t>
      </w:r>
      <w:proofErr w:type="spellEnd"/>
      <w:r w:rsidRPr="00D042E4">
        <w:rPr>
          <w:rFonts w:eastAsia="Calibri"/>
          <w:szCs w:val="22"/>
          <w:lang w:eastAsia="en-US"/>
        </w:rPr>
        <w:t xml:space="preserve"> (ďalej aj „ERCA-DT“) a druhú </w:t>
      </w:r>
      <w:proofErr w:type="spellStart"/>
      <w:r w:rsidRPr="00D042E4">
        <w:rPr>
          <w:rFonts w:eastAsia="Calibri"/>
          <w:szCs w:val="22"/>
          <w:lang w:eastAsia="en-US"/>
        </w:rPr>
        <w:t>Smart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Tachograph</w:t>
      </w:r>
      <w:proofErr w:type="spellEnd"/>
      <w:r w:rsidRPr="00D042E4">
        <w:rPr>
          <w:rFonts w:eastAsia="Calibri"/>
          <w:szCs w:val="22"/>
          <w:lang w:eastAsia="en-US"/>
        </w:rPr>
        <w:t xml:space="preserve"> (ďalej aj „ERCA-ST“), uvedených v </w:t>
      </w:r>
      <w:proofErr w:type="spellStart"/>
      <w:r w:rsidRPr="00D042E4">
        <w:rPr>
          <w:rFonts w:eastAsia="Calibri"/>
          <w:szCs w:val="22"/>
          <w:lang w:eastAsia="en-US"/>
        </w:rPr>
        <w:t>Regulation</w:t>
      </w:r>
      <w:proofErr w:type="spellEnd"/>
      <w:r w:rsidRPr="00D042E4">
        <w:rPr>
          <w:rFonts w:eastAsia="Calibri"/>
          <w:szCs w:val="22"/>
          <w:lang w:eastAsia="en-US"/>
        </w:rPr>
        <w:t xml:space="preserve"> (EU) No 165/2014 of </w:t>
      </w:r>
      <w:proofErr w:type="spellStart"/>
      <w:r w:rsidRPr="00D042E4">
        <w:rPr>
          <w:rFonts w:eastAsia="Calibri"/>
          <w:szCs w:val="22"/>
          <w:lang w:eastAsia="en-US"/>
        </w:rPr>
        <w:t>the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European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Parliament</w:t>
      </w:r>
      <w:proofErr w:type="spellEnd"/>
      <w:r w:rsidRPr="00D042E4">
        <w:rPr>
          <w:rFonts w:eastAsia="Calibri"/>
          <w:szCs w:val="22"/>
          <w:lang w:eastAsia="en-US"/>
        </w:rPr>
        <w:t xml:space="preserve"> and of </w:t>
      </w:r>
      <w:proofErr w:type="spellStart"/>
      <w:r w:rsidRPr="00D042E4">
        <w:rPr>
          <w:rFonts w:eastAsia="Calibri"/>
          <w:szCs w:val="22"/>
          <w:lang w:eastAsia="en-US"/>
        </w:rPr>
        <w:t>the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Council</w:t>
      </w:r>
      <w:proofErr w:type="spellEnd"/>
      <w:r w:rsidRPr="00D042E4">
        <w:rPr>
          <w:rFonts w:eastAsia="Calibri"/>
          <w:szCs w:val="22"/>
          <w:lang w:eastAsia="en-US"/>
        </w:rPr>
        <w:t>.</w:t>
      </w:r>
    </w:p>
    <w:p w:rsidR="00DA5287" w:rsidRPr="00D042E4" w:rsidRDefault="00DA5287" w:rsidP="00DA5287">
      <w:pPr>
        <w:spacing w:after="120" w:line="259" w:lineRule="auto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>Aplikácia certifikačný modul obsahuje tri moduly:</w:t>
      </w:r>
    </w:p>
    <w:p w:rsidR="00DA5287" w:rsidRPr="00D042E4" w:rsidRDefault="00DA5287" w:rsidP="00DA5287">
      <w:pPr>
        <w:spacing w:after="120" w:line="259" w:lineRule="auto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>Administračný modul SK-CA zabezpečuje manuálnu správu konfiguračných údajov vykonávanú operátorom CA (viď v Bezpečnostná politika IS DT). Súčasťou modulu sú nasledujúce funkcie: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nahranie certifikátu Európskej koreňovej certifikačnej autority ERCA,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vytvorenie požiadavky na certifikát pre certifikačnú autoritu,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nahranie certifikátu certifikačnej autority,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nastavenie aktuálneho kľúčového páru certifikačnej autority,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vytvorenie požiadavky na zadanie KDR (</w:t>
      </w:r>
      <w:proofErr w:type="spellStart"/>
      <w:r w:rsidRPr="00D042E4">
        <w:rPr>
          <w:lang w:eastAsia="sk-SK"/>
        </w:rPr>
        <w:t>Key</w:t>
      </w:r>
      <w:proofErr w:type="spellEnd"/>
      <w:r w:rsidRPr="00D042E4">
        <w:rPr>
          <w:lang w:eastAsia="sk-SK"/>
        </w:rPr>
        <w:t xml:space="preserve"> </w:t>
      </w:r>
      <w:proofErr w:type="spellStart"/>
      <w:r w:rsidRPr="00D042E4">
        <w:rPr>
          <w:lang w:eastAsia="sk-SK"/>
        </w:rPr>
        <w:t>Delivery</w:t>
      </w:r>
      <w:proofErr w:type="spellEnd"/>
      <w:r w:rsidRPr="00D042E4">
        <w:rPr>
          <w:lang w:eastAsia="sk-SK"/>
        </w:rPr>
        <w:t xml:space="preserve"> </w:t>
      </w:r>
      <w:proofErr w:type="spellStart"/>
      <w:r w:rsidRPr="00D042E4">
        <w:rPr>
          <w:lang w:eastAsia="sk-SK"/>
        </w:rPr>
        <w:t>Request</w:t>
      </w:r>
      <w:proofErr w:type="spellEnd"/>
      <w:r w:rsidRPr="00D042E4">
        <w:rPr>
          <w:lang w:eastAsia="sk-SK"/>
        </w:rPr>
        <w:t xml:space="preserve">) a nahranie kľúčov </w:t>
      </w:r>
      <w:proofErr w:type="spellStart"/>
      <w:r w:rsidRPr="00D042E4">
        <w:rPr>
          <w:lang w:eastAsia="sk-SK"/>
        </w:rPr>
        <w:t>KmWC</w:t>
      </w:r>
      <w:proofErr w:type="spellEnd"/>
      <w:r w:rsidRPr="00D042E4">
        <w:rPr>
          <w:lang w:eastAsia="sk-SK"/>
        </w:rPr>
        <w:t xml:space="preserve"> a DSRC potrebných pri personalizácií z KDM (</w:t>
      </w:r>
      <w:proofErr w:type="spellStart"/>
      <w:r w:rsidRPr="00D042E4">
        <w:rPr>
          <w:lang w:eastAsia="sk-SK"/>
        </w:rPr>
        <w:t>Key</w:t>
      </w:r>
      <w:proofErr w:type="spellEnd"/>
      <w:r w:rsidRPr="00D042E4">
        <w:rPr>
          <w:lang w:eastAsia="sk-SK"/>
        </w:rPr>
        <w:t xml:space="preserve"> </w:t>
      </w:r>
      <w:proofErr w:type="spellStart"/>
      <w:r w:rsidRPr="00D042E4">
        <w:rPr>
          <w:lang w:eastAsia="sk-SK"/>
        </w:rPr>
        <w:t>Delivery</w:t>
      </w:r>
      <w:proofErr w:type="spellEnd"/>
      <w:r w:rsidRPr="00D042E4">
        <w:rPr>
          <w:lang w:eastAsia="sk-SK"/>
        </w:rPr>
        <w:t xml:space="preserve"> </w:t>
      </w:r>
      <w:proofErr w:type="spellStart"/>
      <w:r w:rsidRPr="00D042E4">
        <w:rPr>
          <w:lang w:eastAsia="sk-SK"/>
        </w:rPr>
        <w:t>Message</w:t>
      </w:r>
      <w:proofErr w:type="spellEnd"/>
      <w:r w:rsidRPr="00D042E4">
        <w:rPr>
          <w:lang w:eastAsia="sk-SK"/>
        </w:rPr>
        <w:t>),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nahranie kľúčov potrebných pri autentifikácií voči čipovým kartám,</w:t>
      </w:r>
    </w:p>
    <w:p w:rsidR="00DA5287" w:rsidRPr="00D042E4" w:rsidRDefault="00DA5287" w:rsidP="00DA5287">
      <w:pPr>
        <w:numPr>
          <w:ilvl w:val="0"/>
          <w:numId w:val="13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prezeranie auditného záznamu udalostí.</w:t>
      </w:r>
    </w:p>
    <w:p w:rsidR="00DA5287" w:rsidRPr="00D042E4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D042E4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 xml:space="preserve">Certifikačný modul certifikačnej autority poskytuje pre </w:t>
      </w:r>
      <w:proofErr w:type="spellStart"/>
      <w:r w:rsidRPr="00D042E4">
        <w:rPr>
          <w:rFonts w:eastAsia="Calibri"/>
          <w:szCs w:val="22"/>
          <w:lang w:eastAsia="en-US"/>
        </w:rPr>
        <w:t>personalizačný</w:t>
      </w:r>
      <w:proofErr w:type="spellEnd"/>
      <w:r w:rsidRPr="00D042E4">
        <w:rPr>
          <w:rFonts w:eastAsia="Calibri"/>
          <w:szCs w:val="22"/>
          <w:lang w:eastAsia="en-US"/>
        </w:rPr>
        <w:t xml:space="preserve"> modul cez API nasledujúce funkcie: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>
        <w:rPr>
          <w:lang w:eastAsia="sk-SK"/>
        </w:rPr>
        <w:t>v</w:t>
      </w:r>
      <w:r w:rsidRPr="00D042E4">
        <w:rPr>
          <w:lang w:eastAsia="sk-SK"/>
        </w:rPr>
        <w:t>ydanie certifikátu pre čipovú kartu</w:t>
      </w:r>
      <w:r>
        <w:rPr>
          <w:lang w:eastAsia="sk-SK"/>
        </w:rPr>
        <w:t>,</w:t>
      </w:r>
    </w:p>
    <w:p w:rsidR="00DA5287" w:rsidRPr="00D042E4" w:rsidRDefault="00DA5287" w:rsidP="00DA5287">
      <w:pPr>
        <w:spacing w:before="120"/>
        <w:ind w:left="714"/>
        <w:jc w:val="both"/>
        <w:rPr>
          <w:lang w:eastAsia="sk-SK"/>
        </w:rPr>
      </w:pPr>
      <w:r>
        <w:rPr>
          <w:lang w:eastAsia="sk-SK"/>
        </w:rPr>
        <w:t>z</w:t>
      </w:r>
      <w:r w:rsidRPr="00D042E4">
        <w:rPr>
          <w:lang w:eastAsia="sk-SK"/>
        </w:rPr>
        <w:t>ískanie hodnoty certifikátu ERCA</w:t>
      </w:r>
      <w:r>
        <w:rPr>
          <w:lang w:eastAsia="sk-SK"/>
        </w:rPr>
        <w:t>,</w:t>
      </w:r>
    </w:p>
    <w:p w:rsidR="00DA5287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>
        <w:rPr>
          <w:lang w:eastAsia="sk-SK"/>
        </w:rPr>
        <w:t>z</w:t>
      </w:r>
      <w:r w:rsidRPr="00D042E4">
        <w:rPr>
          <w:lang w:eastAsia="sk-SK"/>
        </w:rPr>
        <w:t>ískanie hodnoty certifikátu certifikačnej autority.</w:t>
      </w:r>
    </w:p>
    <w:p w:rsidR="00DA5287" w:rsidRPr="00D042E4" w:rsidRDefault="00DA5287" w:rsidP="00DA5287">
      <w:pPr>
        <w:spacing w:before="120"/>
        <w:ind w:left="714"/>
        <w:jc w:val="both"/>
        <w:rPr>
          <w:lang w:eastAsia="sk-SK"/>
        </w:rPr>
      </w:pPr>
    </w:p>
    <w:p w:rsidR="00DA5287" w:rsidRPr="00D042E4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proofErr w:type="spellStart"/>
      <w:r w:rsidRPr="00D042E4">
        <w:rPr>
          <w:rFonts w:eastAsia="Calibri"/>
          <w:szCs w:val="22"/>
          <w:lang w:eastAsia="en-US"/>
        </w:rPr>
        <w:lastRenderedPageBreak/>
        <w:t>Personalizačný</w:t>
      </w:r>
      <w:proofErr w:type="spellEnd"/>
      <w:r w:rsidRPr="00D042E4">
        <w:rPr>
          <w:rFonts w:eastAsia="Calibri"/>
          <w:szCs w:val="22"/>
          <w:lang w:eastAsia="en-US"/>
        </w:rPr>
        <w:t xml:space="preserve"> modul certifikačnej autority zverejňuje služby pre personalizáciu pomocou SOAP. Služby sú zabezpečené protokolom SSL s vynútenou klientskou autentifikáciou. Na základe vstupných údajov modul vytvára zoznam príkazov APDU (</w:t>
      </w:r>
      <w:proofErr w:type="spellStart"/>
      <w:r w:rsidRPr="00D042E4">
        <w:rPr>
          <w:rFonts w:eastAsia="Calibri"/>
          <w:szCs w:val="22"/>
          <w:lang w:eastAsia="en-US"/>
        </w:rPr>
        <w:t>Application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Protocol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Data</w:t>
      </w:r>
      <w:proofErr w:type="spellEnd"/>
      <w:r w:rsidRPr="00D042E4">
        <w:rPr>
          <w:rFonts w:eastAsia="Calibri"/>
          <w:szCs w:val="22"/>
          <w:lang w:eastAsia="en-US"/>
        </w:rPr>
        <w:t xml:space="preserve"> </w:t>
      </w:r>
      <w:proofErr w:type="spellStart"/>
      <w:r w:rsidRPr="00D042E4">
        <w:rPr>
          <w:rFonts w:eastAsia="Calibri"/>
          <w:szCs w:val="22"/>
          <w:lang w:eastAsia="en-US"/>
        </w:rPr>
        <w:t>Unit</w:t>
      </w:r>
      <w:proofErr w:type="spellEnd"/>
      <w:r w:rsidRPr="00D042E4">
        <w:rPr>
          <w:rFonts w:eastAsia="Calibri"/>
          <w:szCs w:val="22"/>
          <w:lang w:eastAsia="en-US"/>
        </w:rPr>
        <w:t>) pre personalizáciu čipovej karty.</w:t>
      </w:r>
    </w:p>
    <w:p w:rsidR="00DA5287" w:rsidRPr="00D042E4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 xml:space="preserve">Služby certifikačného modulu sú využívané ako „online“ volania API z </w:t>
      </w:r>
      <w:proofErr w:type="spellStart"/>
      <w:r w:rsidRPr="00D042E4">
        <w:rPr>
          <w:rFonts w:eastAsia="Calibri"/>
          <w:szCs w:val="22"/>
          <w:lang w:eastAsia="en-US"/>
        </w:rPr>
        <w:t>personalizačného</w:t>
      </w:r>
      <w:proofErr w:type="spellEnd"/>
      <w:r w:rsidRPr="00D042E4">
        <w:rPr>
          <w:rFonts w:eastAsia="Calibri"/>
          <w:szCs w:val="22"/>
          <w:lang w:eastAsia="en-US"/>
        </w:rPr>
        <w:t xml:space="preserve"> modulu pri vytváraní APDU príkazov potrebných pre personalizáciu čipových kariet. Služby umožňujúce získanie aktuálnych hodnôt certifikátov ERCA a SK-CA pre obe generácie ERCA-DT a ERCA-ST. Konfigurácia a formát certifikátov je popísaný v príslušných politikách certifikačných orgánov. </w:t>
      </w:r>
    </w:p>
    <w:p w:rsidR="00DA5287" w:rsidRPr="00D042E4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D042E4">
        <w:rPr>
          <w:b/>
          <w:bCs/>
          <w:sz w:val="26"/>
          <w:szCs w:val="26"/>
          <w:lang w:eastAsia="sk-SK"/>
        </w:rPr>
        <w:t>Modul Kontrola kvality a distribúcia</w:t>
      </w:r>
    </w:p>
    <w:p w:rsidR="00DA5287" w:rsidRPr="00D042E4" w:rsidRDefault="00DA5287" w:rsidP="00DA5287">
      <w:pPr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>Tento modul zabezpečuje funkčnosti: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kontrola kvality personalizácie,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tlač listov a obálok,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rPr>
          <w:lang w:eastAsia="sk-SK"/>
        </w:rPr>
        <w:t>distribúcia čipových kariet.</w:t>
      </w:r>
    </w:p>
    <w:p w:rsidR="00DA5287" w:rsidRPr="00D042E4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bookmarkStart w:id="6" w:name="_Ref36800210"/>
      <w:r w:rsidRPr="00D042E4">
        <w:rPr>
          <w:b/>
          <w:bCs/>
          <w:sz w:val="26"/>
          <w:szCs w:val="26"/>
          <w:lang w:eastAsia="sk-SK"/>
        </w:rPr>
        <w:t xml:space="preserve">Prepojenie na systém </w:t>
      </w:r>
      <w:proofErr w:type="spellStart"/>
      <w:r w:rsidRPr="00D042E4">
        <w:rPr>
          <w:b/>
          <w:bCs/>
          <w:sz w:val="26"/>
          <w:szCs w:val="26"/>
          <w:lang w:eastAsia="sk-SK"/>
        </w:rPr>
        <w:t>TACHOnet</w:t>
      </w:r>
      <w:bookmarkEnd w:id="6"/>
      <w:proofErr w:type="spellEnd"/>
    </w:p>
    <w:p w:rsidR="00DA5287" w:rsidRPr="00D042E4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D042E4">
        <w:rPr>
          <w:rFonts w:eastAsia="Calibri"/>
          <w:szCs w:val="22"/>
          <w:lang w:eastAsia="en-US"/>
        </w:rPr>
        <w:t xml:space="preserve">Pre správne vykonávanie predpisov týkajúcich sa tachografu je nevyhnutné, aby každý vodič mal len jednu platnú kartu vodiča. Členské štáty preto musia zabezpečiť výmenu jedinečných kariet vodiča výmenou informácií s ostatnými členskými štátmi. </w:t>
      </w:r>
      <w:proofErr w:type="spellStart"/>
      <w:r w:rsidRPr="00D042E4">
        <w:rPr>
          <w:rFonts w:eastAsia="Calibri"/>
          <w:szCs w:val="22"/>
          <w:lang w:eastAsia="en-US"/>
        </w:rPr>
        <w:t>TACHOnet</w:t>
      </w:r>
      <w:proofErr w:type="spellEnd"/>
      <w:r w:rsidRPr="00D042E4">
        <w:rPr>
          <w:rFonts w:eastAsia="Calibri"/>
          <w:szCs w:val="22"/>
          <w:lang w:eastAsia="en-US"/>
        </w:rPr>
        <w:t xml:space="preserve"> je </w:t>
      </w:r>
      <w:proofErr w:type="spellStart"/>
      <w:r w:rsidRPr="00D042E4">
        <w:rPr>
          <w:rFonts w:eastAsia="Calibri"/>
          <w:szCs w:val="22"/>
          <w:lang w:eastAsia="en-US"/>
        </w:rPr>
        <w:t>telematická</w:t>
      </w:r>
      <w:proofErr w:type="spellEnd"/>
      <w:r w:rsidRPr="00D042E4">
        <w:rPr>
          <w:rFonts w:eastAsia="Calibri"/>
          <w:szCs w:val="22"/>
          <w:lang w:eastAsia="en-US"/>
        </w:rPr>
        <w:t xml:space="preserve"> sieť fungujúca v celej EÚ, ktorá umožňuje automatizovanú výmenu informácií medzi členskými štátmi.</w:t>
      </w:r>
    </w:p>
    <w:p w:rsidR="00DA5287" w:rsidRPr="00120A7A" w:rsidRDefault="00DA5287" w:rsidP="00DA5287">
      <w:pPr>
        <w:spacing w:after="120"/>
        <w:jc w:val="both"/>
        <w:rPr>
          <w:rFonts w:eastAsia="Calibri"/>
          <w:color w:val="000000"/>
          <w:szCs w:val="22"/>
          <w:lang w:eastAsia="en-US"/>
        </w:rPr>
      </w:pPr>
      <w:r w:rsidRPr="00D042E4">
        <w:rPr>
          <w:rFonts w:eastAsia="Calibri"/>
          <w:color w:val="000000"/>
          <w:szCs w:val="22"/>
          <w:lang w:eastAsia="en-US"/>
        </w:rPr>
        <w:t xml:space="preserve">Výmena informácii o čipových kartách a údajoch o nich medzi Slovenskou republikou a inými členskými štátmi prebieha prostredníctvom napojenia IS Digitálny / Inteligentný tachograf na MOVEHUB prostredníctvom pripojenia na sieť TESTA. </w:t>
      </w:r>
      <w:proofErr w:type="spellStart"/>
      <w:r w:rsidRPr="00D042E4">
        <w:rPr>
          <w:rFonts w:eastAsia="Calibri"/>
          <w:color w:val="000000"/>
          <w:szCs w:val="22"/>
          <w:lang w:eastAsia="en-US"/>
        </w:rPr>
        <w:t>TACHOnet</w:t>
      </w:r>
      <w:proofErr w:type="spellEnd"/>
      <w:r w:rsidRPr="00D042E4">
        <w:rPr>
          <w:rFonts w:eastAsia="Calibri"/>
          <w:color w:val="000000"/>
          <w:szCs w:val="22"/>
          <w:lang w:eastAsia="en-US"/>
        </w:rPr>
        <w:t xml:space="preserve"> je súčasťou MOVEHUB spolu s ostatnými sieťami a</w:t>
      </w:r>
      <w:r w:rsidRPr="00120A7A">
        <w:rPr>
          <w:rFonts w:eastAsia="Calibri"/>
          <w:color w:val="000000"/>
          <w:szCs w:val="22"/>
          <w:lang w:eastAsia="en-US"/>
        </w:rPr>
        <w:t xml:space="preserve"> službami DG MOVE (RESPER, ERRU)</w:t>
      </w:r>
    </w:p>
    <w:p w:rsidR="00DA5287" w:rsidRDefault="00DA5287" w:rsidP="00DA5287">
      <w:pPr>
        <w:spacing w:after="120"/>
        <w:jc w:val="both"/>
        <w:rPr>
          <w:rFonts w:eastAsia="Calibri"/>
          <w:color w:val="000000"/>
          <w:szCs w:val="22"/>
          <w:lang w:eastAsia="en-US"/>
        </w:rPr>
      </w:pPr>
      <w:r w:rsidRPr="00120A7A">
        <w:rPr>
          <w:rFonts w:eastAsia="Calibri"/>
          <w:color w:val="000000"/>
          <w:szCs w:val="22"/>
          <w:lang w:eastAsia="en-US"/>
        </w:rPr>
        <w:t xml:space="preserve">Z prostredia IS DT je vybudovaný VPN kryptovaný tunel na server </w:t>
      </w:r>
      <w:r>
        <w:rPr>
          <w:rFonts w:eastAsia="Calibri"/>
          <w:color w:val="000000"/>
          <w:szCs w:val="22"/>
          <w:lang w:eastAsia="en-US"/>
        </w:rPr>
        <w:t>objednávateľa</w:t>
      </w:r>
      <w:r w:rsidRPr="00120A7A">
        <w:rPr>
          <w:rFonts w:eastAsia="Calibri"/>
          <w:color w:val="000000"/>
          <w:szCs w:val="22"/>
          <w:lang w:eastAsia="en-US"/>
        </w:rPr>
        <w:t>, kde prostredníctvom proxy služieb prebieha vzájomné preposielanie XML správ medzi IS DT a</w:t>
      </w:r>
      <w:r>
        <w:rPr>
          <w:rFonts w:eastAsia="Calibri"/>
          <w:color w:val="000000"/>
          <w:szCs w:val="22"/>
          <w:lang w:eastAsia="en-US"/>
        </w:rPr>
        <w:t> </w:t>
      </w:r>
      <w:r w:rsidRPr="00120A7A">
        <w:rPr>
          <w:rFonts w:eastAsia="Calibri"/>
          <w:color w:val="000000"/>
          <w:szCs w:val="22"/>
          <w:lang w:eastAsia="en-US"/>
        </w:rPr>
        <w:t>TESTA sieťou.</w:t>
      </w:r>
    </w:p>
    <w:p w:rsidR="00DA5287" w:rsidRPr="00120A7A" w:rsidRDefault="00DA5287" w:rsidP="00DA5287">
      <w:pPr>
        <w:spacing w:after="120"/>
        <w:jc w:val="both"/>
        <w:rPr>
          <w:rFonts w:eastAsia="Calibri"/>
          <w:color w:val="000000"/>
          <w:szCs w:val="22"/>
          <w:lang w:eastAsia="en-US"/>
        </w:rPr>
      </w:pPr>
      <w:proofErr w:type="spellStart"/>
      <w:r w:rsidRPr="00120A7A">
        <w:rPr>
          <w:rFonts w:eastAsia="Calibri"/>
          <w:color w:val="000000"/>
          <w:szCs w:val="22"/>
          <w:lang w:eastAsia="en-US"/>
        </w:rPr>
        <w:t>TACHOnet</w:t>
      </w:r>
      <w:proofErr w:type="spellEnd"/>
      <w:r w:rsidRPr="00120A7A">
        <w:rPr>
          <w:rFonts w:eastAsia="Calibri"/>
          <w:color w:val="000000"/>
          <w:szCs w:val="22"/>
          <w:lang w:eastAsia="en-US"/>
        </w:rPr>
        <w:t xml:space="preserve"> zabezpečuje výmenu informácii medzi členskými štátmi cez preposielanie XML správ podľa definovanej XSD schémy. </w:t>
      </w:r>
      <w:proofErr w:type="spellStart"/>
      <w:r w:rsidRPr="00120A7A">
        <w:rPr>
          <w:rFonts w:eastAsia="Calibri"/>
          <w:color w:val="000000"/>
          <w:szCs w:val="22"/>
          <w:lang w:eastAsia="en-US"/>
        </w:rPr>
        <w:t>TACHOnet</w:t>
      </w:r>
      <w:proofErr w:type="spellEnd"/>
      <w:r w:rsidRPr="00120A7A">
        <w:rPr>
          <w:rFonts w:eastAsia="Calibri"/>
          <w:color w:val="000000"/>
          <w:szCs w:val="22"/>
          <w:lang w:eastAsia="en-US"/>
        </w:rPr>
        <w:t xml:space="preserve"> prijíma šifrované XML správy od</w:t>
      </w:r>
      <w:r>
        <w:rPr>
          <w:rFonts w:eastAsia="Calibri"/>
          <w:color w:val="000000"/>
          <w:szCs w:val="22"/>
          <w:lang w:eastAsia="en-US"/>
        </w:rPr>
        <w:t> </w:t>
      </w:r>
      <w:r w:rsidRPr="00120A7A">
        <w:rPr>
          <w:rFonts w:eastAsia="Calibri"/>
          <w:color w:val="000000"/>
          <w:szCs w:val="22"/>
          <w:lang w:eastAsia="en-US"/>
        </w:rPr>
        <w:t>jednotlivých členských štátov a preposiela ich do členských štátov, ktorým sú správy určené.</w:t>
      </w:r>
    </w:p>
    <w:p w:rsidR="00DA5287" w:rsidRDefault="00DA5287" w:rsidP="00DA5287">
      <w:pPr>
        <w:spacing w:after="120"/>
        <w:jc w:val="both"/>
        <w:rPr>
          <w:rFonts w:eastAsia="Calibri"/>
          <w:color w:val="000000"/>
          <w:szCs w:val="22"/>
          <w:lang w:eastAsia="en-US"/>
        </w:rPr>
      </w:pPr>
      <w:r w:rsidRPr="00120A7A">
        <w:rPr>
          <w:rFonts w:eastAsia="Calibri"/>
          <w:color w:val="000000"/>
          <w:szCs w:val="22"/>
          <w:lang w:eastAsia="en-US"/>
        </w:rPr>
        <w:t xml:space="preserve">Za Slovenskú republiku prijímanie a odosielanie týchto XML správ výhradne pre </w:t>
      </w:r>
      <w:proofErr w:type="spellStart"/>
      <w:r w:rsidRPr="00120A7A">
        <w:rPr>
          <w:rFonts w:eastAsia="Calibri"/>
          <w:color w:val="000000"/>
          <w:szCs w:val="22"/>
          <w:lang w:eastAsia="en-US"/>
        </w:rPr>
        <w:t>TACHOnet</w:t>
      </w:r>
      <w:proofErr w:type="spellEnd"/>
      <w:r w:rsidRPr="00120A7A">
        <w:rPr>
          <w:rFonts w:eastAsia="Calibri"/>
          <w:color w:val="000000"/>
          <w:szCs w:val="22"/>
          <w:lang w:eastAsia="en-US"/>
        </w:rPr>
        <w:t xml:space="preserve"> realizuje IS DT, avšak pre ostatné služby a siete DG MOVE sú vytvorené ďalšie prepojenia. A</w:t>
      </w:r>
      <w:r>
        <w:rPr>
          <w:rFonts w:eastAsia="Calibri"/>
          <w:color w:val="000000"/>
          <w:szCs w:val="22"/>
          <w:lang w:eastAsia="en-US"/>
        </w:rPr>
        <w:t> </w:t>
      </w:r>
      <w:r w:rsidRPr="00120A7A">
        <w:rPr>
          <w:rFonts w:eastAsia="Calibri"/>
          <w:color w:val="000000"/>
          <w:szCs w:val="22"/>
          <w:lang w:eastAsia="en-US"/>
        </w:rPr>
        <w:t>to pre RESPER cez systém Ministerstva vnútra SR a pre ERRU napojenie na TESTA sieť prostredníctvom Jednotného informačného systému v cestnej doprave.</w:t>
      </w:r>
    </w:p>
    <w:p w:rsidR="00DA5287" w:rsidRPr="00D042E4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D042E4">
        <w:rPr>
          <w:b/>
          <w:bCs/>
          <w:sz w:val="26"/>
          <w:szCs w:val="26"/>
          <w:lang w:eastAsia="sk-SK"/>
        </w:rPr>
        <w:t>Webové sídlo Digitálny tachograf</w:t>
      </w:r>
    </w:p>
    <w:p w:rsidR="00DA5287" w:rsidRPr="00D042E4" w:rsidRDefault="00DA5287" w:rsidP="00DA5287">
      <w:pPr>
        <w:keepNext/>
        <w:spacing w:before="240" w:after="240"/>
        <w:jc w:val="both"/>
        <w:outlineLvl w:val="2"/>
      </w:pPr>
      <w:r w:rsidRPr="00D042E4">
        <w:rPr>
          <w:rFonts w:eastAsia="Calibri"/>
          <w:color w:val="000000"/>
          <w:szCs w:val="22"/>
          <w:lang w:eastAsia="en-US"/>
        </w:rPr>
        <w:t xml:space="preserve">Prístupový komponent Webové </w:t>
      </w:r>
      <w:r w:rsidRPr="00D042E4">
        <w:t>sídlo Digitálneho tachografu poskytuje najmä: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t xml:space="preserve">prístup k elektronickým službám </w:t>
      </w:r>
      <w:r>
        <w:t>na</w:t>
      </w:r>
      <w:r w:rsidRPr="00D042E4">
        <w:t xml:space="preserve"> obnovu, náhradu alebo zablokovanie karty vodiča</w:t>
      </w:r>
      <w:r w:rsidRPr="00D042E4">
        <w:rPr>
          <w:lang w:eastAsia="sk-SK"/>
        </w:rPr>
        <w:t>,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t>realizáciu úhrady poplatku prostredníctvom platobnej brány,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lastRenderedPageBreak/>
        <w:t xml:space="preserve">generovanie QR kódov pre úhradu poplatku prostredníctvom </w:t>
      </w:r>
      <w:proofErr w:type="spellStart"/>
      <w:r w:rsidRPr="00D042E4">
        <w:t>PayBySquare</w:t>
      </w:r>
      <w:proofErr w:type="spellEnd"/>
      <w:r w:rsidRPr="00D042E4">
        <w:t xml:space="preserve"> zobrazeného v zálohovej faktúre,</w:t>
      </w:r>
    </w:p>
    <w:p w:rsidR="00DA5287" w:rsidRPr="00D042E4" w:rsidRDefault="00DA5287" w:rsidP="00DA5287">
      <w:pPr>
        <w:numPr>
          <w:ilvl w:val="0"/>
          <w:numId w:val="14"/>
        </w:numPr>
        <w:spacing w:before="120"/>
        <w:ind w:left="714" w:hanging="357"/>
        <w:jc w:val="both"/>
        <w:rPr>
          <w:lang w:eastAsia="sk-SK"/>
        </w:rPr>
      </w:pPr>
      <w:r w:rsidRPr="00D042E4">
        <w:t>funkcionality redakčného systému platformy TYPO3 pre zverejňovanie informačného obsahu.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bookmarkStart w:id="7" w:name="_Ref36800273"/>
      <w:r w:rsidRPr="00120A7A">
        <w:rPr>
          <w:b/>
          <w:bCs/>
          <w:i/>
          <w:iCs/>
          <w:sz w:val="28"/>
          <w:szCs w:val="28"/>
          <w:lang w:eastAsia="sk-SK"/>
        </w:rPr>
        <w:t>Personálne požiadavky na strane poskytovateľa IS DT</w:t>
      </w:r>
      <w:bookmarkEnd w:id="7"/>
      <w:r w:rsidRPr="00120A7A">
        <w:rPr>
          <w:b/>
          <w:bCs/>
          <w:i/>
          <w:iCs/>
          <w:sz w:val="28"/>
          <w:szCs w:val="28"/>
          <w:lang w:eastAsia="sk-SK"/>
        </w:rPr>
        <w:t xml:space="preserve"> 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bookmarkStart w:id="8" w:name="_Ref37149259"/>
      <w:r w:rsidRPr="00120A7A">
        <w:rPr>
          <w:b/>
          <w:bCs/>
          <w:sz w:val="26"/>
          <w:szCs w:val="26"/>
          <w:lang w:eastAsia="sk-SK"/>
        </w:rPr>
        <w:t>Role v informačnom systéme</w:t>
      </w:r>
      <w:bookmarkEnd w:id="8"/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Požadované role v IS DT sú:</w:t>
      </w:r>
    </w:p>
    <w:p w:rsidR="00DA5287" w:rsidRPr="00120A7A" w:rsidRDefault="00DA5287" w:rsidP="00DA5287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 xml:space="preserve">CA Administrátor alebo </w:t>
      </w:r>
      <w:proofErr w:type="spellStart"/>
      <w:r w:rsidRPr="00120A7A">
        <w:rPr>
          <w:lang w:eastAsia="sk-SK"/>
        </w:rPr>
        <w:t>Personalizačný</w:t>
      </w:r>
      <w:proofErr w:type="spellEnd"/>
      <w:r w:rsidRPr="00120A7A">
        <w:rPr>
          <w:lang w:eastAsia="sk-SK"/>
        </w:rPr>
        <w:t xml:space="preserve"> Adm</w:t>
      </w:r>
      <w:r>
        <w:rPr>
          <w:lang w:eastAsia="sk-SK"/>
        </w:rPr>
        <w:t>i</w:t>
      </w:r>
      <w:r w:rsidRPr="00120A7A">
        <w:rPr>
          <w:lang w:eastAsia="sk-SK"/>
        </w:rPr>
        <w:t>nistrátor (CAA/PA)</w:t>
      </w:r>
    </w:p>
    <w:p w:rsidR="00DA5287" w:rsidRPr="00120A7A" w:rsidRDefault="00DA5287" w:rsidP="00DA5287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Systémový Administrátor (SA)</w:t>
      </w:r>
    </w:p>
    <w:p w:rsidR="00DA5287" w:rsidRPr="00120A7A" w:rsidRDefault="00DA5287" w:rsidP="00DA5287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 xml:space="preserve">Bezpečnostný </w:t>
      </w:r>
      <w:proofErr w:type="spellStart"/>
      <w:r w:rsidRPr="00120A7A">
        <w:rPr>
          <w:lang w:eastAsia="sk-SK"/>
        </w:rPr>
        <w:t>Officer</w:t>
      </w:r>
      <w:proofErr w:type="spellEnd"/>
      <w:r w:rsidRPr="00120A7A">
        <w:rPr>
          <w:lang w:eastAsia="sk-SK"/>
        </w:rPr>
        <w:t xml:space="preserve"> Informačného systému (ISSO)</w:t>
      </w:r>
    </w:p>
    <w:p w:rsidR="00DA5287" w:rsidRDefault="00DA5287" w:rsidP="00DA5287">
      <w:pPr>
        <w:jc w:val="both"/>
        <w:rPr>
          <w:rFonts w:eastAsia="Calibri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Rola CAA/PA obsahuje:</w:t>
      </w:r>
    </w:p>
    <w:p w:rsidR="00DA5287" w:rsidRPr="00120A7A" w:rsidRDefault="00DA5287" w:rsidP="00DA5287">
      <w:pPr>
        <w:numPr>
          <w:ilvl w:val="0"/>
          <w:numId w:val="3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generovanie kľúča (v DT-SK vykonáva PA)</w:t>
      </w:r>
    </w:p>
    <w:p w:rsidR="00DA5287" w:rsidRPr="00120A7A" w:rsidRDefault="00DA5287" w:rsidP="00DA5287">
      <w:pPr>
        <w:numPr>
          <w:ilvl w:val="0"/>
          <w:numId w:val="3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generovanie certifikátu (v DT-SK vykonáva CAA)</w:t>
      </w:r>
    </w:p>
    <w:p w:rsidR="00DA5287" w:rsidRPr="00120A7A" w:rsidRDefault="00DA5287" w:rsidP="00DA5287">
      <w:pPr>
        <w:numPr>
          <w:ilvl w:val="0"/>
          <w:numId w:val="3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personalizácia a bezpečná distribúcia čipových kariet prijímateľom (v DT-SK vykonáva PA)</w:t>
      </w:r>
    </w:p>
    <w:p w:rsidR="00DA5287" w:rsidRPr="00120A7A" w:rsidRDefault="00DA5287" w:rsidP="00DA5287">
      <w:pPr>
        <w:numPr>
          <w:ilvl w:val="0"/>
          <w:numId w:val="3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administratívne činnosti spojené so správou SK-CA/SK-CP databázami a asistencia pri</w:t>
      </w:r>
      <w:r>
        <w:rPr>
          <w:lang w:eastAsia="sk-SK"/>
        </w:rPr>
        <w:t> </w:t>
      </w:r>
      <w:r w:rsidRPr="00120A7A">
        <w:rPr>
          <w:lang w:eastAsia="sk-SK"/>
        </w:rPr>
        <w:t>vyšetrovaní incidentov a kompromitácie kľúčov (v DT-SK vykonáva CAA aj PA)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Rola SA obsahuje:</w:t>
      </w:r>
    </w:p>
    <w:p w:rsidR="00DA5287" w:rsidRPr="00120A7A" w:rsidRDefault="00DA5287" w:rsidP="00DA5287">
      <w:pPr>
        <w:numPr>
          <w:ilvl w:val="0"/>
          <w:numId w:val="34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vykonávanie prvotnej konfigurácie systému vrátane bezpečného štartovania a vypínania systému</w:t>
      </w:r>
    </w:p>
    <w:p w:rsidR="00DA5287" w:rsidRPr="00120A7A" w:rsidRDefault="00DA5287" w:rsidP="00DA5287">
      <w:pPr>
        <w:numPr>
          <w:ilvl w:val="0"/>
          <w:numId w:val="34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prvotné nastavenie všetkých nových používateľských a administrátorských účtov v systéme (</w:t>
      </w:r>
      <w:proofErr w:type="spellStart"/>
      <w:r w:rsidRPr="00120A7A">
        <w:rPr>
          <w:lang w:eastAsia="sk-SK"/>
        </w:rPr>
        <w:t>accounts</w:t>
      </w:r>
      <w:proofErr w:type="spellEnd"/>
      <w:r w:rsidRPr="00120A7A">
        <w:rPr>
          <w:lang w:eastAsia="sk-SK"/>
        </w:rPr>
        <w:t>)</w:t>
      </w:r>
    </w:p>
    <w:p w:rsidR="00DA5287" w:rsidRPr="00120A7A" w:rsidRDefault="00DA5287" w:rsidP="00DA5287">
      <w:pPr>
        <w:numPr>
          <w:ilvl w:val="0"/>
          <w:numId w:val="34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nastavenie prvotnej sieťovej konfigurácie</w:t>
      </w:r>
    </w:p>
    <w:p w:rsidR="00DA5287" w:rsidRPr="00120A7A" w:rsidRDefault="00DA5287" w:rsidP="00DA5287">
      <w:pPr>
        <w:numPr>
          <w:ilvl w:val="0"/>
          <w:numId w:val="34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vytvorenie pohotovostného média (</w:t>
      </w:r>
      <w:proofErr w:type="spellStart"/>
      <w:r w:rsidRPr="00120A7A">
        <w:rPr>
          <w:lang w:eastAsia="sk-SK"/>
        </w:rPr>
        <w:t>emergency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system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restart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medium</w:t>
      </w:r>
      <w:proofErr w:type="spellEnd"/>
      <w:r w:rsidRPr="00120A7A">
        <w:rPr>
          <w:lang w:eastAsia="sk-SK"/>
        </w:rPr>
        <w:t>) pre obnovu údajov</w:t>
      </w:r>
    </w:p>
    <w:p w:rsidR="00DA5287" w:rsidRPr="00120A7A" w:rsidRDefault="00DA5287" w:rsidP="00DA5287">
      <w:pPr>
        <w:numPr>
          <w:ilvl w:val="0"/>
          <w:numId w:val="34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vykonávanie záloh systému, aktualizácia a zálohovanie softvéru vrátane bezpečného uloženia záloh a aktualizácií mimo prevádzkovej lokality. Zálohy by sa mali vykonávať jeden krát v týždni a systém by mal byť celkovo reštartovaný po vykonaní jeho zálohy v súvislosti s vykonaním kontroly integrity systémového hardvéru</w:t>
      </w:r>
    </w:p>
    <w:p w:rsidR="00DA5287" w:rsidRPr="00120A7A" w:rsidRDefault="00DA5287" w:rsidP="00DA5287">
      <w:pPr>
        <w:numPr>
          <w:ilvl w:val="0"/>
          <w:numId w:val="34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v prípade potreby uskutočnenia zmeny názvu počítača (</w:t>
      </w:r>
      <w:proofErr w:type="spellStart"/>
      <w:r w:rsidRPr="00120A7A">
        <w:rPr>
          <w:lang w:eastAsia="sk-SK"/>
        </w:rPr>
        <w:t>host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name</w:t>
      </w:r>
      <w:proofErr w:type="spellEnd"/>
      <w:r w:rsidRPr="00120A7A">
        <w:rPr>
          <w:lang w:eastAsia="sk-SK"/>
        </w:rPr>
        <w:t xml:space="preserve">) a/alebo sieťovej adresy (IP </w:t>
      </w:r>
      <w:proofErr w:type="spellStart"/>
      <w:r w:rsidRPr="00120A7A">
        <w:rPr>
          <w:lang w:eastAsia="sk-SK"/>
        </w:rPr>
        <w:t>adress</w:t>
      </w:r>
      <w:proofErr w:type="spellEnd"/>
      <w:r w:rsidRPr="00120A7A">
        <w:rPr>
          <w:lang w:eastAsia="sk-SK"/>
        </w:rPr>
        <w:t>)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Rola ISSO obsahuje:</w:t>
      </w:r>
    </w:p>
    <w:p w:rsidR="00DA5287" w:rsidRPr="00120A7A" w:rsidRDefault="00DA5287" w:rsidP="00DA5287">
      <w:pPr>
        <w:numPr>
          <w:ilvl w:val="0"/>
          <w:numId w:val="35"/>
        </w:numPr>
        <w:spacing w:before="120" w:after="160" w:line="259" w:lineRule="auto"/>
        <w:ind w:left="714" w:hanging="357"/>
        <w:contextualSpacing/>
        <w:jc w:val="both"/>
        <w:rPr>
          <w:lang w:eastAsia="sk-SK"/>
        </w:rPr>
      </w:pPr>
      <w:r w:rsidRPr="00120A7A">
        <w:rPr>
          <w:lang w:eastAsia="sk-SK"/>
        </w:rPr>
        <w:t>prideľovanie bezpečnostných oprávnení a prístupových práv CA Administrátorom s </w:t>
      </w:r>
      <w:proofErr w:type="spellStart"/>
      <w:r w:rsidRPr="00120A7A">
        <w:rPr>
          <w:lang w:eastAsia="sk-SK"/>
        </w:rPr>
        <w:t>Personalizačným</w:t>
      </w:r>
      <w:proofErr w:type="spellEnd"/>
      <w:r w:rsidRPr="00120A7A">
        <w:rPr>
          <w:lang w:eastAsia="sk-SK"/>
        </w:rPr>
        <w:t xml:space="preserve"> Administrátorom (CAA/PA)</w:t>
      </w:r>
    </w:p>
    <w:p w:rsidR="00DA5287" w:rsidRPr="00120A7A" w:rsidRDefault="00DA5287" w:rsidP="00DA5287">
      <w:pPr>
        <w:numPr>
          <w:ilvl w:val="0"/>
          <w:numId w:val="35"/>
        </w:numPr>
        <w:spacing w:before="120" w:after="160" w:line="259" w:lineRule="auto"/>
        <w:ind w:left="714" w:hanging="357"/>
        <w:contextualSpacing/>
        <w:jc w:val="both"/>
        <w:rPr>
          <w:lang w:eastAsia="sk-SK"/>
        </w:rPr>
      </w:pPr>
      <w:r w:rsidRPr="00120A7A">
        <w:rPr>
          <w:lang w:eastAsia="sk-SK"/>
        </w:rPr>
        <w:t>prideľovanie prvotných hesiel všetkým novým účtom v systéme</w:t>
      </w:r>
    </w:p>
    <w:p w:rsidR="00DA5287" w:rsidRPr="00120A7A" w:rsidRDefault="00DA5287" w:rsidP="00DA5287">
      <w:pPr>
        <w:numPr>
          <w:ilvl w:val="0"/>
          <w:numId w:val="35"/>
        </w:numPr>
        <w:spacing w:before="120" w:after="160" w:line="259" w:lineRule="auto"/>
        <w:ind w:left="714" w:hanging="357"/>
        <w:contextualSpacing/>
        <w:jc w:val="both"/>
        <w:rPr>
          <w:lang w:eastAsia="sk-SK"/>
        </w:rPr>
      </w:pPr>
      <w:r w:rsidRPr="00120A7A">
        <w:rPr>
          <w:lang w:eastAsia="sk-SK"/>
        </w:rPr>
        <w:t>vykonávanie archivácie potrebných systémových záznamov</w:t>
      </w:r>
    </w:p>
    <w:p w:rsidR="00DA5287" w:rsidRPr="00120A7A" w:rsidRDefault="00DA5287" w:rsidP="00DA5287">
      <w:pPr>
        <w:numPr>
          <w:ilvl w:val="0"/>
          <w:numId w:val="35"/>
        </w:numPr>
        <w:spacing w:before="120" w:after="160" w:line="259" w:lineRule="auto"/>
        <w:ind w:left="714" w:hanging="357"/>
        <w:contextualSpacing/>
        <w:jc w:val="both"/>
        <w:rPr>
          <w:lang w:eastAsia="sk-SK"/>
        </w:rPr>
      </w:pPr>
      <w:r w:rsidRPr="00120A7A">
        <w:rPr>
          <w:lang w:eastAsia="sk-SK"/>
        </w:rPr>
        <w:t>kontrolovanie auditného logu pre sledovanie dodržiavania bezpečnostných politík CA Administrátorov a </w:t>
      </w:r>
      <w:proofErr w:type="spellStart"/>
      <w:r w:rsidRPr="00120A7A">
        <w:rPr>
          <w:lang w:eastAsia="sk-SK"/>
        </w:rPr>
        <w:t>Personalizačných</w:t>
      </w:r>
      <w:proofErr w:type="spellEnd"/>
      <w:r w:rsidRPr="00120A7A">
        <w:rPr>
          <w:lang w:eastAsia="sk-SK"/>
        </w:rPr>
        <w:t xml:space="preserve"> Administrátorov. Kontrola auditného logu sa vykonáva jeden krát v týždni</w:t>
      </w:r>
    </w:p>
    <w:p w:rsidR="00DA5287" w:rsidRPr="00120A7A" w:rsidRDefault="00DA5287" w:rsidP="00DA5287">
      <w:pPr>
        <w:numPr>
          <w:ilvl w:val="0"/>
          <w:numId w:val="35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osobné vykonávanie alebo dohľad nad ročným zálohovaním údajov SK-CA a SK-CP</w:t>
      </w:r>
    </w:p>
    <w:p w:rsidR="00DA5287" w:rsidRPr="00120A7A" w:rsidRDefault="00DA5287" w:rsidP="00DA5287">
      <w:pPr>
        <w:numPr>
          <w:ilvl w:val="0"/>
          <w:numId w:val="35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participácia pri generovaní kľúča pre organizáciu SK-MSA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lang w:eastAsia="sk-SK"/>
        </w:rPr>
      </w:pPr>
      <w:r w:rsidRPr="00120A7A">
        <w:rPr>
          <w:b/>
          <w:bCs/>
          <w:lang w:eastAsia="sk-SK"/>
        </w:rPr>
        <w:lastRenderedPageBreak/>
        <w:t>Role späté s inštaláciou pre zberné miesta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Rola inštalátor</w:t>
      </w:r>
    </w:p>
    <w:p w:rsidR="00DA5287" w:rsidRPr="00120A7A" w:rsidRDefault="00DA5287" w:rsidP="00DA5287">
      <w:pPr>
        <w:numPr>
          <w:ilvl w:val="0"/>
          <w:numId w:val="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Inštalácia VPN klienta na zbernom mieste</w:t>
      </w:r>
    </w:p>
    <w:p w:rsidR="00DA5287" w:rsidRPr="00120A7A" w:rsidRDefault="00DA5287" w:rsidP="00DA5287">
      <w:pPr>
        <w:numPr>
          <w:ilvl w:val="0"/>
          <w:numId w:val="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Spustenie aplikácie CMS pre zberné miesto, vytvorenie záložky v obľúbených</w:t>
      </w:r>
    </w:p>
    <w:p w:rsidR="00DA5287" w:rsidRPr="00120A7A" w:rsidRDefault="00DA5287" w:rsidP="00DA5287">
      <w:pPr>
        <w:numPr>
          <w:ilvl w:val="0"/>
          <w:numId w:val="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Inštalácia skenera</w:t>
      </w:r>
    </w:p>
    <w:p w:rsidR="00DA5287" w:rsidRPr="00120A7A" w:rsidRDefault="00DA5287" w:rsidP="00DA5287">
      <w:pPr>
        <w:numPr>
          <w:ilvl w:val="0"/>
          <w:numId w:val="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Inštalácia autentifikačného zariadenia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lang w:eastAsia="sk-SK"/>
        </w:rPr>
      </w:pPr>
      <w:r w:rsidRPr="00120A7A">
        <w:rPr>
          <w:b/>
          <w:bCs/>
          <w:lang w:eastAsia="sk-SK"/>
        </w:rPr>
        <w:t>Role späté so školením</w:t>
      </w:r>
    </w:p>
    <w:p w:rsidR="00DA5287" w:rsidRPr="00120A7A" w:rsidRDefault="00DA5287" w:rsidP="00DA5287">
      <w:pPr>
        <w:numPr>
          <w:ilvl w:val="0"/>
          <w:numId w:val="3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Rola školiteľ</w:t>
      </w:r>
    </w:p>
    <w:p w:rsidR="00DA5287" w:rsidRPr="00120A7A" w:rsidRDefault="00DA5287" w:rsidP="00DA5287">
      <w:pPr>
        <w:numPr>
          <w:ilvl w:val="0"/>
          <w:numId w:val="3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Zaškolenie obsluhy CMS – zberné miesto, schvaľovateľ</w:t>
      </w:r>
    </w:p>
    <w:p w:rsidR="00DA5287" w:rsidRPr="00120A7A" w:rsidRDefault="00DA5287" w:rsidP="00DA5287">
      <w:pPr>
        <w:numPr>
          <w:ilvl w:val="0"/>
          <w:numId w:val="37"/>
        </w:numPr>
        <w:spacing w:before="120" w:after="200" w:line="276" w:lineRule="auto"/>
        <w:jc w:val="both"/>
        <w:rPr>
          <w:lang w:eastAsia="sk-SK"/>
        </w:rPr>
      </w:pPr>
      <w:r w:rsidRPr="00120A7A">
        <w:rPr>
          <w:lang w:eastAsia="sk-SK"/>
        </w:rPr>
        <w:t xml:space="preserve">Rola </w:t>
      </w:r>
      <w:proofErr w:type="spellStart"/>
      <w:r w:rsidRPr="00120A7A">
        <w:rPr>
          <w:lang w:eastAsia="sk-SK"/>
        </w:rPr>
        <w:t>writer</w:t>
      </w:r>
      <w:proofErr w:type="spellEnd"/>
      <w:r w:rsidRPr="00120A7A">
        <w:rPr>
          <w:lang w:eastAsia="sk-SK"/>
        </w:rPr>
        <w:t xml:space="preserve"> – Príprava príručiek ku školeniu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bookmarkStart w:id="9" w:name="_Ref36800096"/>
      <w:bookmarkStart w:id="10" w:name="_Ref36800103"/>
      <w:r w:rsidRPr="00120A7A">
        <w:rPr>
          <w:b/>
          <w:bCs/>
          <w:i/>
          <w:iCs/>
          <w:sz w:val="28"/>
          <w:szCs w:val="28"/>
          <w:lang w:eastAsia="sk-SK"/>
        </w:rPr>
        <w:t>Architektúra a technická špecifikácia existujúceho riešenia</w:t>
      </w:r>
      <w:bookmarkEnd w:id="9"/>
      <w:bookmarkEnd w:id="10"/>
      <w:r w:rsidRPr="00120A7A">
        <w:rPr>
          <w:b/>
          <w:bCs/>
          <w:i/>
          <w:iCs/>
          <w:sz w:val="28"/>
          <w:szCs w:val="28"/>
          <w:lang w:eastAsia="sk-SK"/>
        </w:rPr>
        <w:tab/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Poskytovateľ zabezpečí HW platformu a zabezpečí prístup k IS DT pre zamestnancov Objednávateľa. Poskytovateľ môže zvoliť aj inú architektúru, avšak prípadné potrebné prispôsobenie IS DT bude plne v réžii poskytovateľa z hľadiska nákladov rovnako ako potrebného času na prispôsobenie. Zároveň HW platforma má spĺňať podmienky a požiadavky podľa zákona č. 95/2019 Z. z. o informačných technológiách vo verejnej správe a o zmene a doplnení niektorých zákonov a Vyhlášky Úradu podpredsedu vlády Slovenskej republiky pre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>investície a informatizáciu č. 78/2020 Z. z. o štandardoch pre informačné technológie verejnej správy.</w:t>
      </w:r>
    </w:p>
    <w:p w:rsidR="00DA5287" w:rsidRPr="00120A7A" w:rsidRDefault="00DA5287" w:rsidP="00DA5287">
      <w:pPr>
        <w:tabs>
          <w:tab w:val="left" w:pos="3795"/>
        </w:tabs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Serverová infraštruktúra beží na platforme </w:t>
      </w:r>
      <w:proofErr w:type="spellStart"/>
      <w:r w:rsidRPr="00120A7A">
        <w:rPr>
          <w:rFonts w:eastAsia="Calibri"/>
          <w:szCs w:val="22"/>
          <w:lang w:eastAsia="en-US"/>
        </w:rPr>
        <w:t>VMware</w:t>
      </w:r>
      <w:proofErr w:type="spellEnd"/>
      <w:r w:rsidRPr="00120A7A">
        <w:rPr>
          <w:rFonts w:eastAsia="Calibri"/>
          <w:szCs w:val="22"/>
          <w:lang w:eastAsia="en-US"/>
        </w:rPr>
        <w:t xml:space="preserve"> verzie 6.5.0 a pozostáva z dvojice ESX serverov (HP DL360 G10 2x8core Silv-4110 CPU, 160GB RAM) riadených virtuálnym </w:t>
      </w:r>
      <w:proofErr w:type="spellStart"/>
      <w:r w:rsidRPr="00120A7A">
        <w:rPr>
          <w:rFonts w:eastAsia="Calibri"/>
          <w:szCs w:val="22"/>
          <w:lang w:eastAsia="en-US"/>
        </w:rPr>
        <w:t>vCenter</w:t>
      </w:r>
      <w:proofErr w:type="spellEnd"/>
      <w:r w:rsidRPr="00120A7A">
        <w:rPr>
          <w:rFonts w:eastAsia="Calibri"/>
          <w:szCs w:val="22"/>
          <w:lang w:eastAsia="en-US"/>
        </w:rPr>
        <w:t xml:space="preserve"> serverom. Dáta sú medzi ESX serv</w:t>
      </w:r>
      <w:r>
        <w:rPr>
          <w:rFonts w:eastAsia="Calibri"/>
          <w:szCs w:val="22"/>
          <w:lang w:eastAsia="en-US"/>
        </w:rPr>
        <w:t>er</w:t>
      </w:r>
      <w:r w:rsidRPr="00120A7A">
        <w:rPr>
          <w:rFonts w:eastAsia="Calibri"/>
          <w:szCs w:val="22"/>
          <w:lang w:eastAsia="en-US"/>
        </w:rPr>
        <w:t xml:space="preserve">mi zdieľané z diskového poľa  HPE MSA 2050 SAN v konfigurácií 16x 600GB SAS HDD, pripojeného priamo bez prepínačov protokolom FC. Súčasťou riešenia je aj HSM zariadenie (THALES </w:t>
      </w:r>
      <w:proofErr w:type="spellStart"/>
      <w:r w:rsidRPr="00120A7A">
        <w:rPr>
          <w:rFonts w:eastAsia="Calibri"/>
          <w:szCs w:val="22"/>
          <w:lang w:eastAsia="en-US"/>
        </w:rPr>
        <w:t>nshield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connect</w:t>
      </w:r>
      <w:proofErr w:type="spellEnd"/>
      <w:r w:rsidRPr="00120A7A">
        <w:rPr>
          <w:rFonts w:eastAsia="Calibri"/>
          <w:szCs w:val="22"/>
          <w:lang w:eastAsia="en-US"/>
        </w:rPr>
        <w:t xml:space="preserve">) s ktorým komunikujú vybrané virtuálne </w:t>
      </w:r>
      <w:r w:rsidRPr="009643BC">
        <w:rPr>
          <w:rFonts w:eastAsia="Calibri"/>
          <w:szCs w:val="22"/>
          <w:lang w:eastAsia="en-US"/>
        </w:rPr>
        <w:t>servery</w:t>
      </w:r>
      <w:r w:rsidRPr="00120A7A">
        <w:rPr>
          <w:rFonts w:eastAsia="Calibri"/>
          <w:szCs w:val="22"/>
          <w:lang w:eastAsia="en-US"/>
        </w:rPr>
        <w:t xml:space="preserve"> cez LAN.</w:t>
      </w:r>
    </w:p>
    <w:p w:rsidR="00DA5287" w:rsidRPr="00120A7A" w:rsidRDefault="00DA5287" w:rsidP="00DA5287">
      <w:pPr>
        <w:tabs>
          <w:tab w:val="left" w:pos="3795"/>
        </w:tabs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Pre zabezpečenie prístupu do a zo siete DT a vonkajších sietí slúži firewall klaster Cisco ASA 5516. Firewall zabezpečuje aj RA VPN pre prijímateľov DT. Serverová infraštruktúra je pripojená cez 2x Cisc</w:t>
      </w:r>
      <w:r>
        <w:rPr>
          <w:rFonts w:eastAsia="Calibri"/>
          <w:szCs w:val="22"/>
          <w:lang w:eastAsia="en-US"/>
        </w:rPr>
        <w:t xml:space="preserve">o switch 2960X (24port </w:t>
      </w:r>
      <w:proofErr w:type="spellStart"/>
      <w:r>
        <w:rPr>
          <w:rFonts w:eastAsia="Calibri"/>
          <w:szCs w:val="22"/>
          <w:lang w:eastAsia="en-US"/>
        </w:rPr>
        <w:t>metalický</w:t>
      </w:r>
      <w:proofErr w:type="spellEnd"/>
      <w:r w:rsidRPr="00120A7A">
        <w:rPr>
          <w:rFonts w:eastAsia="Calibri"/>
          <w:szCs w:val="22"/>
          <w:lang w:eastAsia="en-US"/>
        </w:rPr>
        <w:t xml:space="preserve"> RJ-45 1Gb) a rozdelená do jednotlivých VLAN na základe požiadaviek a potrieb DT a odpovedá definovaným zónam a nastaveným pravidlám na firewalle.</w:t>
      </w:r>
    </w:p>
    <w:p w:rsidR="00DA5287" w:rsidRPr="00120A7A" w:rsidRDefault="00DA5287" w:rsidP="00DA5287">
      <w:pPr>
        <w:tabs>
          <w:tab w:val="left" w:pos="3795"/>
        </w:tabs>
        <w:spacing w:after="120"/>
        <w:jc w:val="both"/>
        <w:rPr>
          <w:rFonts w:eastAsia="Calibri"/>
          <w:szCs w:val="22"/>
          <w:lang w:eastAsia="en-US"/>
        </w:rPr>
      </w:pPr>
      <w:proofErr w:type="spellStart"/>
      <w:r w:rsidRPr="00120A7A">
        <w:rPr>
          <w:rFonts w:eastAsia="Calibri"/>
          <w:szCs w:val="22"/>
          <w:lang w:eastAsia="en-US"/>
        </w:rPr>
        <w:t>VMware</w:t>
      </w:r>
      <w:proofErr w:type="spellEnd"/>
      <w:r w:rsidRPr="00120A7A">
        <w:rPr>
          <w:rFonts w:eastAsia="Calibri"/>
          <w:szCs w:val="22"/>
          <w:lang w:eastAsia="en-US"/>
        </w:rPr>
        <w:t xml:space="preserve"> infraštruktúra je zálohovaná centrálnym backup serverom (HP DL 320e Gen8 v2) s využitím </w:t>
      </w:r>
      <w:proofErr w:type="spellStart"/>
      <w:r w:rsidRPr="00120A7A">
        <w:rPr>
          <w:rFonts w:eastAsia="Calibri"/>
          <w:szCs w:val="22"/>
          <w:lang w:eastAsia="en-US"/>
        </w:rPr>
        <w:t>VMware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vSphere</w:t>
      </w:r>
      <w:proofErr w:type="spellEnd"/>
      <w:r w:rsidRPr="00120A7A">
        <w:rPr>
          <w:rFonts w:eastAsia="Calibri"/>
          <w:szCs w:val="22"/>
          <w:lang w:eastAsia="en-US"/>
        </w:rPr>
        <w:t xml:space="preserve"> API a zálohy sú ukladané na páskovú knižnicu (HP </w:t>
      </w:r>
      <w:proofErr w:type="spellStart"/>
      <w:r w:rsidRPr="00120A7A">
        <w:rPr>
          <w:rFonts w:eastAsia="Calibri"/>
          <w:szCs w:val="22"/>
          <w:lang w:eastAsia="en-US"/>
        </w:rPr>
        <w:t>StorageWorks</w:t>
      </w:r>
      <w:proofErr w:type="spellEnd"/>
      <w:r w:rsidRPr="00120A7A">
        <w:rPr>
          <w:rFonts w:eastAsia="Calibri"/>
          <w:szCs w:val="22"/>
          <w:lang w:eastAsia="en-US"/>
        </w:rPr>
        <w:t xml:space="preserve"> 1/8 G2 </w:t>
      </w:r>
      <w:proofErr w:type="spellStart"/>
      <w:r w:rsidRPr="00120A7A">
        <w:rPr>
          <w:rFonts w:eastAsia="Calibri"/>
          <w:szCs w:val="22"/>
          <w:lang w:eastAsia="en-US"/>
        </w:rPr>
        <w:t>Tape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autoloader</w:t>
      </w:r>
      <w:proofErr w:type="spellEnd"/>
      <w:r w:rsidRPr="00120A7A">
        <w:rPr>
          <w:rFonts w:eastAsia="Calibri"/>
          <w:szCs w:val="22"/>
          <w:lang w:eastAsia="en-US"/>
        </w:rPr>
        <w:t xml:space="preserve"> s technológiou LTO3 pripojenú priamo k backup serveru. Ako zálohovací nástroj je použitý </w:t>
      </w:r>
      <w:proofErr w:type="spellStart"/>
      <w:r w:rsidRPr="00120A7A">
        <w:rPr>
          <w:rFonts w:eastAsia="Calibri"/>
          <w:szCs w:val="22"/>
          <w:lang w:eastAsia="en-US"/>
        </w:rPr>
        <w:t>Veritas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BackupExec</w:t>
      </w:r>
      <w:proofErr w:type="spellEnd"/>
      <w:r w:rsidRPr="00120A7A">
        <w:rPr>
          <w:rFonts w:eastAsia="Calibri"/>
          <w:szCs w:val="22"/>
          <w:lang w:eastAsia="en-US"/>
        </w:rPr>
        <w:t xml:space="preserve"> vo verzii 20.3. </w:t>
      </w:r>
    </w:p>
    <w:p w:rsidR="00DA5287" w:rsidRPr="00120A7A" w:rsidRDefault="00DA5287" w:rsidP="00DA5287">
      <w:pPr>
        <w:tabs>
          <w:tab w:val="left" w:pos="3795"/>
        </w:tabs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Vo </w:t>
      </w:r>
      <w:proofErr w:type="spellStart"/>
      <w:r w:rsidRPr="00120A7A">
        <w:rPr>
          <w:rFonts w:eastAsia="Calibri"/>
          <w:szCs w:val="22"/>
          <w:lang w:eastAsia="en-US"/>
        </w:rPr>
        <w:t>VMware</w:t>
      </w:r>
      <w:proofErr w:type="spellEnd"/>
      <w:r w:rsidRPr="00120A7A">
        <w:rPr>
          <w:rFonts w:eastAsia="Calibri"/>
          <w:szCs w:val="22"/>
          <w:lang w:eastAsia="en-US"/>
        </w:rPr>
        <w:t xml:space="preserve"> sú vytvorené dve prostredia – produkčné a </w:t>
      </w:r>
      <w:proofErr w:type="spellStart"/>
      <w:r w:rsidRPr="00120A7A">
        <w:rPr>
          <w:rFonts w:eastAsia="Calibri"/>
          <w:szCs w:val="22"/>
          <w:lang w:eastAsia="en-US"/>
        </w:rPr>
        <w:t>predprodukčné</w:t>
      </w:r>
      <w:proofErr w:type="spellEnd"/>
      <w:r w:rsidRPr="00120A7A">
        <w:rPr>
          <w:rFonts w:eastAsia="Calibri"/>
          <w:szCs w:val="22"/>
          <w:lang w:eastAsia="en-US"/>
        </w:rPr>
        <w:t>. Komunikácia medzi prostrediami a aj v rámci prostredí je oddelená pomocou technológie VLAN.</w:t>
      </w:r>
    </w:p>
    <w:p w:rsidR="00DA5287" w:rsidRPr="00120A7A" w:rsidRDefault="00DA5287" w:rsidP="00DA5287">
      <w:pPr>
        <w:tabs>
          <w:tab w:val="left" w:pos="3795"/>
        </w:tabs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Minimálny podporovaný operačný systém je Windows Server 2008 R2 a vyšší, minimálna podporovaná verzia pre SQL databázu je </w:t>
      </w:r>
      <w:proofErr w:type="spellStart"/>
      <w:r w:rsidRPr="00120A7A">
        <w:rPr>
          <w:rFonts w:eastAsia="Calibri"/>
          <w:szCs w:val="22"/>
          <w:lang w:eastAsia="en-US"/>
        </w:rPr>
        <w:t>Microsfoft</w:t>
      </w:r>
      <w:proofErr w:type="spellEnd"/>
      <w:r w:rsidRPr="00120A7A">
        <w:rPr>
          <w:rFonts w:eastAsia="Calibri"/>
          <w:szCs w:val="22"/>
          <w:lang w:eastAsia="en-US"/>
        </w:rPr>
        <w:t xml:space="preserve"> SQL </w:t>
      </w:r>
      <w:proofErr w:type="spellStart"/>
      <w:r w:rsidRPr="00120A7A">
        <w:rPr>
          <w:rFonts w:eastAsia="Calibri"/>
          <w:szCs w:val="22"/>
          <w:lang w:eastAsia="en-US"/>
        </w:rPr>
        <w:t>Database</w:t>
      </w:r>
      <w:proofErr w:type="spellEnd"/>
      <w:r w:rsidRPr="00120A7A">
        <w:rPr>
          <w:rFonts w:eastAsia="Calibri"/>
          <w:szCs w:val="22"/>
          <w:lang w:eastAsia="en-US"/>
        </w:rPr>
        <w:t xml:space="preserve"> Server2008 R2 a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>vyššia.</w:t>
      </w:r>
      <w:r>
        <w:rPr>
          <w:rFonts w:eastAsia="Calibri"/>
          <w:szCs w:val="22"/>
          <w:lang w:eastAsia="en-US"/>
        </w:rPr>
        <w:t xml:space="preserve"> Žiaden modul alebo SW komponent nie je na systéme Windows Server 2008 R2 závislý.</w:t>
      </w:r>
      <w:r w:rsidRPr="00120A7A">
        <w:rPr>
          <w:rFonts w:eastAsia="Calibri"/>
          <w:szCs w:val="22"/>
          <w:lang w:eastAsia="en-US"/>
        </w:rPr>
        <w:t xml:space="preserve"> Na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 xml:space="preserve">prevádzku Digitálneho tachografu sú potrebné </w:t>
      </w:r>
      <w:proofErr w:type="spellStart"/>
      <w:r w:rsidRPr="00120A7A">
        <w:rPr>
          <w:rFonts w:eastAsia="Calibri"/>
          <w:szCs w:val="22"/>
          <w:lang w:eastAsia="en-US"/>
        </w:rPr>
        <w:t>ActiveDomain</w:t>
      </w:r>
      <w:proofErr w:type="spellEnd"/>
      <w:r w:rsidRPr="00120A7A">
        <w:rPr>
          <w:rFonts w:eastAsia="Calibri"/>
          <w:szCs w:val="22"/>
          <w:lang w:eastAsia="en-US"/>
        </w:rPr>
        <w:t xml:space="preserve"> servery, aplikačný server  v konfigurácii minimálne 4 GB RAM, 2 CPU a 100 GB HDD. Dva SQL servery v konfigurácii minimálne 4 GB RAM, 2 CPU, 100 GB HDD pre operačný systém ,320 GB HDD pre SQL </w:t>
      </w:r>
      <w:r w:rsidRPr="00120A7A">
        <w:rPr>
          <w:rFonts w:eastAsia="Calibri"/>
          <w:szCs w:val="22"/>
          <w:lang w:eastAsia="en-US"/>
        </w:rPr>
        <w:lastRenderedPageBreak/>
        <w:t>dáta,</w:t>
      </w:r>
      <w:r>
        <w:rPr>
          <w:rFonts w:eastAsia="Calibri"/>
          <w:szCs w:val="22"/>
          <w:lang w:eastAsia="en-US"/>
        </w:rPr>
        <w:t xml:space="preserve"> </w:t>
      </w:r>
      <w:r w:rsidRPr="00120A7A">
        <w:rPr>
          <w:rFonts w:eastAsia="Calibri"/>
          <w:szCs w:val="22"/>
          <w:lang w:eastAsia="en-US"/>
        </w:rPr>
        <w:t xml:space="preserve">50 GB HDD pre SQL logy. Vysoká dostupnosť SQL je zabezpečená pomocou technológie </w:t>
      </w:r>
      <w:proofErr w:type="spellStart"/>
      <w:r w:rsidRPr="00120A7A">
        <w:rPr>
          <w:rFonts w:eastAsia="Calibri"/>
          <w:szCs w:val="22"/>
          <w:lang w:eastAsia="en-US"/>
        </w:rPr>
        <w:t>Failover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Cluster</w:t>
      </w:r>
      <w:proofErr w:type="spellEnd"/>
      <w:r w:rsidRPr="00120A7A">
        <w:rPr>
          <w:rFonts w:eastAsia="Calibri"/>
          <w:szCs w:val="22"/>
          <w:lang w:eastAsia="en-US"/>
        </w:rPr>
        <w:t xml:space="preserve">. </w:t>
      </w:r>
    </w:p>
    <w:p w:rsidR="00DA5287" w:rsidRPr="00120A7A" w:rsidRDefault="00DA5287" w:rsidP="00DA5287">
      <w:pPr>
        <w:tabs>
          <w:tab w:val="left" w:pos="3795"/>
        </w:tabs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Antivírusová ochrana je zabezpečená pomocou Symantec </w:t>
      </w:r>
      <w:proofErr w:type="spellStart"/>
      <w:r w:rsidRPr="00120A7A">
        <w:rPr>
          <w:rFonts w:eastAsia="Calibri"/>
          <w:szCs w:val="22"/>
          <w:lang w:eastAsia="en-US"/>
        </w:rPr>
        <w:t>Endpoint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Protection</w:t>
      </w:r>
      <w:proofErr w:type="spellEnd"/>
      <w:r w:rsidRPr="00120A7A">
        <w:rPr>
          <w:rFonts w:eastAsia="Calibri"/>
          <w:szCs w:val="22"/>
          <w:lang w:eastAsia="en-US"/>
        </w:rPr>
        <w:t xml:space="preserve">.   </w:t>
      </w:r>
    </w:p>
    <w:p w:rsidR="00DA5287" w:rsidRPr="00120A7A" w:rsidRDefault="00DA5287" w:rsidP="00DA5287">
      <w:pPr>
        <w:tabs>
          <w:tab w:val="left" w:pos="3795"/>
        </w:tabs>
        <w:jc w:val="center"/>
        <w:rPr>
          <w:rFonts w:eastAsia="Calibri"/>
          <w:szCs w:val="22"/>
          <w:lang w:eastAsia="en-US"/>
        </w:rPr>
      </w:pPr>
      <w:r w:rsidRPr="00120A7A">
        <w:rPr>
          <w:rFonts w:eastAsia="Calibri"/>
          <w:noProof/>
          <w:szCs w:val="22"/>
          <w:lang w:eastAsia="sk-SK"/>
        </w:rPr>
        <w:drawing>
          <wp:inline distT="0" distB="0" distL="0" distR="0" wp14:anchorId="560A60BD" wp14:editId="672E0681">
            <wp:extent cx="5644105" cy="4923183"/>
            <wp:effectExtent l="0" t="0" r="0" b="4445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_big_pic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373" cy="506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tabs>
          <w:tab w:val="left" w:pos="3795"/>
        </w:tabs>
        <w:jc w:val="both"/>
        <w:rPr>
          <w:rFonts w:eastAsia="Calibri"/>
          <w:sz w:val="18"/>
          <w:szCs w:val="18"/>
          <w:lang w:eastAsia="en-US"/>
        </w:rPr>
      </w:pPr>
    </w:p>
    <w:p w:rsidR="00DA5287" w:rsidRPr="00120A7A" w:rsidRDefault="00DA5287" w:rsidP="00DA5287">
      <w:pPr>
        <w:spacing w:after="160" w:line="259" w:lineRule="auto"/>
        <w:rPr>
          <w:rFonts w:eastAsia="Calibri"/>
          <w:sz w:val="18"/>
          <w:szCs w:val="18"/>
          <w:lang w:eastAsia="en-US"/>
        </w:rPr>
      </w:pPr>
      <w:r w:rsidRPr="00120A7A">
        <w:rPr>
          <w:rFonts w:eastAsia="Calibri"/>
          <w:sz w:val="18"/>
          <w:szCs w:val="18"/>
          <w:lang w:eastAsia="en-US"/>
        </w:rPr>
        <w:br w:type="page"/>
      </w:r>
    </w:p>
    <w:p w:rsidR="00DA5287" w:rsidRPr="00120A7A" w:rsidRDefault="00DA5287" w:rsidP="00DA5287">
      <w:pPr>
        <w:tabs>
          <w:tab w:val="left" w:pos="3795"/>
        </w:tabs>
        <w:jc w:val="both"/>
        <w:rPr>
          <w:rFonts w:eastAsia="Calibri"/>
          <w:sz w:val="22"/>
          <w:szCs w:val="18"/>
          <w:lang w:eastAsia="en-US"/>
        </w:rPr>
      </w:pPr>
      <w:r w:rsidRPr="00120A7A">
        <w:rPr>
          <w:rFonts w:eastAsia="Calibri"/>
          <w:sz w:val="22"/>
          <w:szCs w:val="18"/>
          <w:lang w:eastAsia="en-US"/>
        </w:rPr>
        <w:lastRenderedPageBreak/>
        <w:t>Technologická Infraštruktúra digitálny tachograf</w:t>
      </w:r>
    </w:p>
    <w:p w:rsidR="00DA5287" w:rsidRPr="00120A7A" w:rsidRDefault="00DA5287" w:rsidP="00DA5287">
      <w:pPr>
        <w:tabs>
          <w:tab w:val="left" w:pos="3795"/>
        </w:tabs>
        <w:jc w:val="both"/>
        <w:rPr>
          <w:rFonts w:eastAsia="Calibri"/>
          <w:sz w:val="22"/>
          <w:szCs w:val="18"/>
          <w:lang w:eastAsia="en-US"/>
        </w:rPr>
      </w:pPr>
    </w:p>
    <w:p w:rsidR="00DA5287" w:rsidRPr="00120A7A" w:rsidRDefault="00DA5287" w:rsidP="00DA5287">
      <w:pPr>
        <w:tabs>
          <w:tab w:val="left" w:pos="3795"/>
        </w:tabs>
        <w:jc w:val="center"/>
        <w:rPr>
          <w:rFonts w:eastAsia="Calibri"/>
          <w:lang w:eastAsia="en-US"/>
        </w:rPr>
      </w:pPr>
      <w:r w:rsidRPr="00120A7A">
        <w:rPr>
          <w:rFonts w:eastAsia="Calibri"/>
          <w:noProof/>
          <w:lang w:eastAsia="sk-SK"/>
        </w:rPr>
        <w:drawing>
          <wp:inline distT="0" distB="0" distL="0" distR="0" wp14:anchorId="6BBC6684" wp14:editId="35B5C61F">
            <wp:extent cx="4884517" cy="4044048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T_ar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948" cy="406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tabs>
          <w:tab w:val="left" w:pos="3795"/>
        </w:tabs>
        <w:jc w:val="center"/>
        <w:rPr>
          <w:rFonts w:eastAsia="Calibri"/>
          <w:lang w:eastAsia="en-US"/>
        </w:rPr>
      </w:pPr>
    </w:p>
    <w:p w:rsidR="00DA5287" w:rsidRPr="00120A7A" w:rsidRDefault="00DA5287" w:rsidP="00DA5287">
      <w:pPr>
        <w:tabs>
          <w:tab w:val="left" w:pos="3795"/>
        </w:tabs>
        <w:jc w:val="center"/>
        <w:rPr>
          <w:rFonts w:eastAsia="Calibri"/>
          <w:lang w:eastAsia="en-US"/>
        </w:rPr>
      </w:pPr>
    </w:p>
    <w:p w:rsidR="00DA5287" w:rsidRPr="00120A7A" w:rsidRDefault="00DA5287" w:rsidP="00DA5287">
      <w:pPr>
        <w:tabs>
          <w:tab w:val="left" w:pos="3795"/>
        </w:tabs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noProof/>
          <w:szCs w:val="22"/>
          <w:lang w:eastAsia="sk-SK"/>
        </w:rPr>
        <w:drawing>
          <wp:inline distT="0" distB="0" distL="0" distR="0" wp14:anchorId="197E69F5" wp14:editId="21B3958D">
            <wp:extent cx="4430069" cy="3902680"/>
            <wp:effectExtent l="0" t="0" r="8890" b="3175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PERS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069" cy="39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lastRenderedPageBreak/>
        <w:t>Opis architektúry SK-CA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Certifikačná autorita je zložená z nasledujúcich HW komponentov:</w:t>
      </w:r>
    </w:p>
    <w:p w:rsidR="00DA5287" w:rsidRPr="00120A7A" w:rsidRDefault="00DA5287" w:rsidP="00DA5287">
      <w:pPr>
        <w:numPr>
          <w:ilvl w:val="0"/>
          <w:numId w:val="1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Server MS </w:t>
      </w:r>
      <w:r>
        <w:rPr>
          <w:lang w:eastAsia="sk-SK"/>
        </w:rPr>
        <w:t>W</w:t>
      </w:r>
      <w:r w:rsidRPr="00120A7A">
        <w:rPr>
          <w:lang w:eastAsia="sk-SK"/>
        </w:rPr>
        <w:t>indows 2008 R2 pre prevádzku aplikácie certifikačnej autority.</w:t>
      </w:r>
    </w:p>
    <w:p w:rsidR="00DA5287" w:rsidRPr="00120A7A" w:rsidRDefault="00DA5287" w:rsidP="00DA5287">
      <w:pPr>
        <w:numPr>
          <w:ilvl w:val="0"/>
          <w:numId w:val="1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HSM modul </w:t>
      </w:r>
      <w:proofErr w:type="spellStart"/>
      <w:r w:rsidRPr="00120A7A">
        <w:rPr>
          <w:lang w:eastAsia="sk-SK"/>
        </w:rPr>
        <w:t>nShield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Connect</w:t>
      </w:r>
      <w:proofErr w:type="spellEnd"/>
      <w:r w:rsidRPr="00120A7A">
        <w:rPr>
          <w:lang w:eastAsia="sk-SK"/>
        </w:rPr>
        <w:t>, ktorý slúži ako bezpečné úložisko používaných kryptografických kľúčov a náhodný generátor pre generovanie údajov potrebných pri</w:t>
      </w:r>
      <w:r>
        <w:rPr>
          <w:lang w:eastAsia="sk-SK"/>
        </w:rPr>
        <w:t> </w:t>
      </w:r>
      <w:r w:rsidRPr="00120A7A">
        <w:rPr>
          <w:lang w:eastAsia="sk-SK"/>
        </w:rPr>
        <w:t>personalizácii čipových kariet.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Aplikácia SK-CA pozostáva z nasledujúcich SW modulov:</w:t>
      </w:r>
    </w:p>
    <w:p w:rsidR="00DA5287" w:rsidRPr="00120A7A" w:rsidRDefault="00DA5287" w:rsidP="00DA5287">
      <w:pPr>
        <w:numPr>
          <w:ilvl w:val="0"/>
          <w:numId w:val="1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administračný modul,</w:t>
      </w:r>
    </w:p>
    <w:p w:rsidR="00DA5287" w:rsidRPr="00120A7A" w:rsidRDefault="00DA5287" w:rsidP="00DA5287">
      <w:pPr>
        <w:numPr>
          <w:ilvl w:val="0"/>
          <w:numId w:val="1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certifikačný modul,</w:t>
      </w:r>
    </w:p>
    <w:p w:rsidR="00DA5287" w:rsidRPr="00120A7A" w:rsidRDefault="00DA5287" w:rsidP="00DA5287">
      <w:pPr>
        <w:numPr>
          <w:ilvl w:val="0"/>
          <w:numId w:val="12"/>
        </w:numPr>
        <w:spacing w:before="120" w:after="120"/>
        <w:ind w:left="714" w:hanging="357"/>
        <w:jc w:val="both"/>
        <w:rPr>
          <w:lang w:eastAsia="sk-SK"/>
        </w:rPr>
      </w:pPr>
      <w:proofErr w:type="spellStart"/>
      <w:r w:rsidRPr="00120A7A">
        <w:rPr>
          <w:lang w:eastAsia="sk-SK"/>
        </w:rPr>
        <w:t>personalizačný</w:t>
      </w:r>
      <w:proofErr w:type="spellEnd"/>
      <w:r w:rsidRPr="00120A7A">
        <w:rPr>
          <w:lang w:eastAsia="sk-SK"/>
        </w:rPr>
        <w:t xml:space="preserve"> modul.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center"/>
        <w:rPr>
          <w:rFonts w:eastAsia="Calibri"/>
          <w:szCs w:val="22"/>
          <w:lang w:eastAsia="en-US"/>
        </w:rPr>
      </w:pPr>
      <w:r w:rsidRPr="00120A7A">
        <w:rPr>
          <w:rFonts w:eastAsia="Calibri"/>
          <w:noProof/>
          <w:szCs w:val="22"/>
          <w:lang w:eastAsia="sk-SK"/>
        </w:rPr>
        <w:drawing>
          <wp:inline distT="0" distB="0" distL="0" distR="0" wp14:anchorId="017D08E2" wp14:editId="34CA8498">
            <wp:extent cx="5699760" cy="3649980"/>
            <wp:effectExtent l="0" t="0" r="0" b="762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jc w:val="center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tabs>
          <w:tab w:val="left" w:pos="3795"/>
        </w:tabs>
        <w:jc w:val="both"/>
        <w:rPr>
          <w:rFonts w:eastAsia="Calibri"/>
          <w:i/>
          <w:lang w:eastAsia="en-US"/>
        </w:rPr>
      </w:pP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Požiadavky na konfiguráciu – Certifikačná autorita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Server:</w:t>
      </w:r>
    </w:p>
    <w:p w:rsidR="00DA5287" w:rsidRPr="00120A7A" w:rsidRDefault="00DA5287" w:rsidP="00DA5287">
      <w:pPr>
        <w:numPr>
          <w:ilvl w:val="0"/>
          <w:numId w:val="15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Min 2GHz procesor,</w:t>
      </w:r>
    </w:p>
    <w:p w:rsidR="00DA5287" w:rsidRPr="00120A7A" w:rsidRDefault="00DA5287" w:rsidP="00DA5287">
      <w:pPr>
        <w:numPr>
          <w:ilvl w:val="0"/>
          <w:numId w:val="15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8GB RAM,</w:t>
      </w:r>
    </w:p>
    <w:p w:rsidR="00DA5287" w:rsidRPr="00120A7A" w:rsidRDefault="00DA5287" w:rsidP="00DA5287">
      <w:pPr>
        <w:numPr>
          <w:ilvl w:val="0"/>
          <w:numId w:val="15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1G voľného diskového priestoru pre aplikáciu,</w:t>
      </w:r>
    </w:p>
    <w:p w:rsidR="00DA5287" w:rsidRPr="00120A7A" w:rsidRDefault="00DA5287" w:rsidP="00DA5287">
      <w:pPr>
        <w:numPr>
          <w:ilvl w:val="0"/>
          <w:numId w:val="15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sieťová konektivita.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lastRenderedPageBreak/>
        <w:t>HSM modul: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  <w:proofErr w:type="spellStart"/>
      <w:r w:rsidRPr="00120A7A">
        <w:rPr>
          <w:rFonts w:eastAsia="Calibri"/>
          <w:szCs w:val="22"/>
          <w:lang w:eastAsia="en-US"/>
        </w:rPr>
        <w:t>nShield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Connect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appliance</w:t>
      </w:r>
      <w:proofErr w:type="spellEnd"/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Pre činnosť SK-CA musia byť vytvorené testovacie a produkčné prostredia. Testovacie prostredie je u</w:t>
      </w:r>
      <w:r>
        <w:rPr>
          <w:rFonts w:eastAsia="Calibri"/>
          <w:szCs w:val="22"/>
          <w:lang w:eastAsia="en-US"/>
        </w:rPr>
        <w:t>r</w:t>
      </w:r>
      <w:r w:rsidRPr="00120A7A">
        <w:rPr>
          <w:rFonts w:eastAsia="Calibri"/>
          <w:szCs w:val="22"/>
          <w:lang w:eastAsia="en-US"/>
        </w:rPr>
        <w:t>čené pre overenie a integráciu požadovaných funkcií, pričom využíva kľúčový materiál zverejnený ERCA v balíku (</w:t>
      </w:r>
      <w:proofErr w:type="spellStart"/>
      <w:r w:rsidRPr="00120A7A">
        <w:rPr>
          <w:rFonts w:eastAsia="Calibri"/>
          <w:szCs w:val="22"/>
          <w:lang w:eastAsia="en-US"/>
        </w:rPr>
        <w:t>Samples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Keys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for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Smart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Tachograph</w:t>
      </w:r>
      <w:proofErr w:type="spellEnd"/>
      <w:r w:rsidRPr="00120A7A">
        <w:rPr>
          <w:rFonts w:eastAsia="Calibri"/>
          <w:szCs w:val="22"/>
          <w:lang w:eastAsia="en-US"/>
        </w:rPr>
        <w:t xml:space="preserve"> v1.4).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Produkčné prostredie je určené pre samotnú produkciu čipových kariet.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Schéma prostredí je znázornená na nasledujúcom obrázku.</w:t>
      </w:r>
    </w:p>
    <w:p w:rsidR="00DA5287" w:rsidRPr="00120A7A" w:rsidRDefault="00DA5287" w:rsidP="00DA5287">
      <w:pPr>
        <w:jc w:val="center"/>
        <w:rPr>
          <w:rFonts w:eastAsia="Calibri"/>
          <w:szCs w:val="22"/>
          <w:lang w:eastAsia="en-US"/>
        </w:rPr>
      </w:pPr>
      <w:r w:rsidRPr="00120A7A">
        <w:rPr>
          <w:rFonts w:eastAsia="Calibri"/>
          <w:noProof/>
          <w:szCs w:val="22"/>
          <w:lang w:eastAsia="sk-SK"/>
        </w:rPr>
        <w:drawing>
          <wp:inline distT="0" distB="0" distL="0" distR="0" wp14:anchorId="584D816D" wp14:editId="306B1F82">
            <wp:extent cx="4515480" cy="4058216"/>
            <wp:effectExtent l="0" t="0" r="0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stredie C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Schéma prostredí SK-CA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color w:val="2E74B5"/>
          <w:szCs w:val="22"/>
          <w:lang w:eastAsia="en-US"/>
        </w:rPr>
        <w:t>Server SK-CA produkčné prostredie</w:t>
      </w:r>
    </w:p>
    <w:p w:rsidR="00DA5287" w:rsidRPr="00120A7A" w:rsidRDefault="00DA5287" w:rsidP="00DA5287">
      <w:pPr>
        <w:numPr>
          <w:ilvl w:val="0"/>
          <w:numId w:val="31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Aplikačný kontajner </w:t>
      </w:r>
      <w:proofErr w:type="spellStart"/>
      <w:r w:rsidRPr="00120A7A">
        <w:rPr>
          <w:lang w:eastAsia="sk-SK"/>
        </w:rPr>
        <w:t>Tomcat</w:t>
      </w:r>
      <w:proofErr w:type="spellEnd"/>
      <w:r w:rsidRPr="00120A7A">
        <w:rPr>
          <w:lang w:eastAsia="sk-SK"/>
        </w:rPr>
        <w:t xml:space="preserve"> 8.5.41</w:t>
      </w:r>
    </w:p>
    <w:p w:rsidR="00DA5287" w:rsidRPr="00120A7A" w:rsidRDefault="00DA5287" w:rsidP="00DA5287">
      <w:pPr>
        <w:numPr>
          <w:ilvl w:val="0"/>
          <w:numId w:val="31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Databázový systém </w:t>
      </w:r>
      <w:proofErr w:type="spellStart"/>
      <w:r w:rsidRPr="00120A7A">
        <w:rPr>
          <w:lang w:eastAsia="sk-SK"/>
        </w:rPr>
        <w:t>MariaDB</w:t>
      </w:r>
      <w:proofErr w:type="spellEnd"/>
      <w:r w:rsidRPr="00120A7A">
        <w:rPr>
          <w:lang w:eastAsia="sk-SK"/>
        </w:rPr>
        <w:t xml:space="preserve"> 10.3.14</w:t>
      </w:r>
    </w:p>
    <w:p w:rsidR="00DA5287" w:rsidRPr="00120A7A" w:rsidRDefault="00DA5287" w:rsidP="00DA5287">
      <w:pPr>
        <w:numPr>
          <w:ilvl w:val="0"/>
          <w:numId w:val="31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t>Aplikácia MSCAG2WS v1.1</w:t>
      </w:r>
    </w:p>
    <w:p w:rsidR="00DA5287" w:rsidRPr="00120A7A" w:rsidRDefault="00DA5287" w:rsidP="00DA5287">
      <w:pPr>
        <w:numPr>
          <w:ilvl w:val="0"/>
          <w:numId w:val="31"/>
        </w:numPr>
        <w:spacing w:before="120" w:after="120" w:line="259" w:lineRule="auto"/>
        <w:jc w:val="both"/>
        <w:rPr>
          <w:lang w:eastAsia="sk-SK"/>
        </w:rPr>
      </w:pPr>
      <w:proofErr w:type="spellStart"/>
      <w:r w:rsidRPr="00120A7A">
        <w:rPr>
          <w:lang w:eastAsia="sk-SK"/>
        </w:rPr>
        <w:t>Jre</w:t>
      </w:r>
      <w:proofErr w:type="spellEnd"/>
      <w:r w:rsidRPr="00120A7A">
        <w:rPr>
          <w:lang w:eastAsia="sk-SK"/>
        </w:rPr>
        <w:t xml:space="preserve"> 8 update 201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Sieťový HSM modul </w:t>
      </w:r>
      <w:proofErr w:type="spellStart"/>
      <w:r w:rsidRPr="00120A7A">
        <w:rPr>
          <w:rFonts w:eastAsia="Calibri"/>
          <w:szCs w:val="22"/>
          <w:lang w:eastAsia="en-US"/>
        </w:rPr>
        <w:t>nShield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Connect</w:t>
      </w:r>
      <w:proofErr w:type="spellEnd"/>
      <w:r w:rsidRPr="00120A7A">
        <w:rPr>
          <w:rFonts w:eastAsia="Calibri"/>
          <w:szCs w:val="22"/>
          <w:lang w:eastAsia="en-US"/>
        </w:rPr>
        <w:t xml:space="preserve"> pre ochranu kryptografických kľúčov</w:t>
      </w:r>
    </w:p>
    <w:p w:rsidR="00DA5287" w:rsidRPr="00120A7A" w:rsidRDefault="00DA5287" w:rsidP="00DA5287">
      <w:pPr>
        <w:jc w:val="both"/>
        <w:rPr>
          <w:rFonts w:eastAsia="Calibri"/>
          <w:color w:val="2E74B5"/>
          <w:szCs w:val="22"/>
          <w:lang w:eastAsia="en-US"/>
        </w:rPr>
      </w:pPr>
      <w:r w:rsidRPr="00120A7A">
        <w:rPr>
          <w:rFonts w:eastAsia="Calibri"/>
          <w:color w:val="2E74B5"/>
          <w:szCs w:val="22"/>
          <w:lang w:eastAsia="en-US"/>
        </w:rPr>
        <w:t>Server SK-CA Testovacie prostredie</w:t>
      </w:r>
    </w:p>
    <w:p w:rsidR="00DA5287" w:rsidRPr="00120A7A" w:rsidRDefault="00DA5287" w:rsidP="00DA5287">
      <w:pPr>
        <w:numPr>
          <w:ilvl w:val="0"/>
          <w:numId w:val="30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Aplikačný kontajner </w:t>
      </w:r>
      <w:proofErr w:type="spellStart"/>
      <w:r w:rsidRPr="00120A7A">
        <w:rPr>
          <w:lang w:eastAsia="sk-SK"/>
        </w:rPr>
        <w:t>Tomcat</w:t>
      </w:r>
      <w:proofErr w:type="spellEnd"/>
      <w:r w:rsidRPr="00120A7A">
        <w:rPr>
          <w:lang w:eastAsia="sk-SK"/>
        </w:rPr>
        <w:t xml:space="preserve"> 8.5.41</w:t>
      </w:r>
    </w:p>
    <w:p w:rsidR="00DA5287" w:rsidRPr="00120A7A" w:rsidRDefault="00DA5287" w:rsidP="00DA5287">
      <w:pPr>
        <w:numPr>
          <w:ilvl w:val="0"/>
          <w:numId w:val="30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Databázový systém </w:t>
      </w:r>
      <w:proofErr w:type="spellStart"/>
      <w:r w:rsidRPr="00120A7A">
        <w:rPr>
          <w:lang w:eastAsia="sk-SK"/>
        </w:rPr>
        <w:t>MariaDB</w:t>
      </w:r>
      <w:proofErr w:type="spellEnd"/>
      <w:r w:rsidRPr="00120A7A">
        <w:rPr>
          <w:lang w:eastAsia="sk-SK"/>
        </w:rPr>
        <w:t xml:space="preserve"> 10.3.14</w:t>
      </w:r>
    </w:p>
    <w:p w:rsidR="00DA5287" w:rsidRPr="00120A7A" w:rsidRDefault="00DA5287" w:rsidP="00DA5287">
      <w:pPr>
        <w:numPr>
          <w:ilvl w:val="0"/>
          <w:numId w:val="30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t>Aplikácia MSCAG2WS v1.1</w:t>
      </w:r>
    </w:p>
    <w:p w:rsidR="00DA5287" w:rsidRPr="00120A7A" w:rsidRDefault="00DA5287" w:rsidP="00DA5287">
      <w:pPr>
        <w:numPr>
          <w:ilvl w:val="0"/>
          <w:numId w:val="30"/>
        </w:numPr>
        <w:spacing w:before="120" w:after="120" w:line="259" w:lineRule="auto"/>
        <w:jc w:val="both"/>
        <w:rPr>
          <w:lang w:eastAsia="sk-SK"/>
        </w:rPr>
      </w:pPr>
      <w:proofErr w:type="spellStart"/>
      <w:r w:rsidRPr="00120A7A">
        <w:rPr>
          <w:lang w:eastAsia="sk-SK"/>
        </w:rPr>
        <w:t>Jre</w:t>
      </w:r>
      <w:proofErr w:type="spellEnd"/>
      <w:r w:rsidRPr="00120A7A">
        <w:rPr>
          <w:lang w:eastAsia="sk-SK"/>
        </w:rPr>
        <w:t xml:space="preserve"> 8 update 201</w:t>
      </w:r>
    </w:p>
    <w:p w:rsidR="00DA5287" w:rsidRPr="00120A7A" w:rsidRDefault="00DA5287" w:rsidP="00DA5287">
      <w:pPr>
        <w:numPr>
          <w:ilvl w:val="0"/>
          <w:numId w:val="30"/>
        </w:numPr>
        <w:spacing w:before="120" w:after="120" w:line="259" w:lineRule="auto"/>
        <w:jc w:val="both"/>
        <w:rPr>
          <w:lang w:eastAsia="sk-SK"/>
        </w:rPr>
      </w:pPr>
      <w:r w:rsidRPr="00120A7A">
        <w:rPr>
          <w:lang w:eastAsia="sk-SK"/>
        </w:rPr>
        <w:lastRenderedPageBreak/>
        <w:t xml:space="preserve">Kryptografické kľúče uložené pomocou </w:t>
      </w:r>
      <w:proofErr w:type="spellStart"/>
      <w:r w:rsidRPr="00120A7A">
        <w:rPr>
          <w:lang w:eastAsia="sk-SK"/>
        </w:rPr>
        <w:t>KeyStore</w:t>
      </w:r>
      <w:proofErr w:type="spellEnd"/>
      <w:r w:rsidRPr="00120A7A">
        <w:rPr>
          <w:lang w:eastAsia="sk-SK"/>
        </w:rPr>
        <w:t xml:space="preserve"> na disku.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Sieťová infraštruktúra</w:t>
      </w:r>
    </w:p>
    <w:p w:rsidR="00DA5287" w:rsidRPr="00120A7A" w:rsidRDefault="00DA5287" w:rsidP="00DA5287">
      <w:pPr>
        <w:numPr>
          <w:ilvl w:val="0"/>
          <w:numId w:val="29"/>
        </w:numPr>
        <w:tabs>
          <w:tab w:val="left" w:pos="3795"/>
        </w:tabs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2x </w:t>
      </w:r>
      <w:proofErr w:type="spellStart"/>
      <w:r w:rsidRPr="00120A7A">
        <w:rPr>
          <w:lang w:eastAsia="sk-SK"/>
        </w:rPr>
        <w:t>cluster</w:t>
      </w:r>
      <w:proofErr w:type="spellEnd"/>
      <w:r w:rsidRPr="00120A7A">
        <w:rPr>
          <w:lang w:eastAsia="sk-SK"/>
        </w:rPr>
        <w:t xml:space="preserve"> Firewall pre zabezpečenie prístupu do a zo siete DT a vonkajších sieti na</w:t>
      </w:r>
      <w:r>
        <w:rPr>
          <w:lang w:eastAsia="sk-SK"/>
        </w:rPr>
        <w:t> </w:t>
      </w:r>
      <w:r w:rsidRPr="00120A7A">
        <w:rPr>
          <w:lang w:eastAsia="sk-SK"/>
        </w:rPr>
        <w:t>základe definovaných pravidiel podľa jednotlivých zón,</w:t>
      </w:r>
    </w:p>
    <w:p w:rsidR="00DA5287" w:rsidRPr="00120A7A" w:rsidRDefault="00DA5287" w:rsidP="00DA5287">
      <w:pPr>
        <w:numPr>
          <w:ilvl w:val="0"/>
          <w:numId w:val="29"/>
        </w:numPr>
        <w:tabs>
          <w:tab w:val="left" w:pos="3795"/>
        </w:tabs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firewall ďalej zabezpečuje RA VPN pre prijímateľov IS DT</w:t>
      </w:r>
      <w:r>
        <w:rPr>
          <w:lang w:eastAsia="sk-SK"/>
        </w:rPr>
        <w:t>,</w:t>
      </w:r>
    </w:p>
    <w:p w:rsidR="00DA5287" w:rsidRPr="00120A7A" w:rsidRDefault="00DA5287" w:rsidP="00DA5287">
      <w:pPr>
        <w:numPr>
          <w:ilvl w:val="0"/>
          <w:numId w:val="29"/>
        </w:numPr>
        <w:tabs>
          <w:tab w:val="left" w:pos="3795"/>
        </w:tabs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2x Switch 24port </w:t>
      </w:r>
      <w:proofErr w:type="spellStart"/>
      <w:r w:rsidRPr="00120A7A">
        <w:rPr>
          <w:lang w:eastAsia="sk-SK"/>
        </w:rPr>
        <w:t>metalický</w:t>
      </w:r>
      <w:proofErr w:type="spellEnd"/>
      <w:r w:rsidRPr="00120A7A">
        <w:rPr>
          <w:lang w:eastAsia="sk-SK"/>
        </w:rPr>
        <w:t xml:space="preserve"> RJ-45 1Gb pre pripojenie serverovej infraštruktúry IS DT, ktorá je rozdelená do jednotlivých VLAN na základe požiadaviek a potrieb IS DT a odpovedá definovaným zónam a nastaveným pravidlám na firewalle.</w:t>
      </w:r>
    </w:p>
    <w:p w:rsidR="00DA5287" w:rsidRPr="00120A7A" w:rsidRDefault="00DA5287" w:rsidP="00DA5287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br w:type="page"/>
      </w:r>
    </w:p>
    <w:p w:rsidR="00DA5287" w:rsidRPr="00120A7A" w:rsidRDefault="00DA5287" w:rsidP="00DA5287">
      <w:pPr>
        <w:keepNext/>
        <w:keepLines/>
        <w:numPr>
          <w:ilvl w:val="0"/>
          <w:numId w:val="18"/>
        </w:numPr>
        <w:spacing w:before="240" w:after="360"/>
        <w:ind w:left="431" w:hanging="431"/>
        <w:jc w:val="both"/>
        <w:outlineLvl w:val="0"/>
        <w:rPr>
          <w:b/>
          <w:color w:val="000000"/>
          <w:sz w:val="32"/>
          <w:szCs w:val="32"/>
          <w:lang w:eastAsia="en-US"/>
        </w:rPr>
      </w:pPr>
      <w:bookmarkStart w:id="11" w:name="_Ref36800406"/>
      <w:r w:rsidRPr="00120A7A">
        <w:rPr>
          <w:b/>
          <w:color w:val="000000"/>
          <w:sz w:val="32"/>
          <w:szCs w:val="32"/>
          <w:lang w:eastAsia="en-US"/>
        </w:rPr>
        <w:lastRenderedPageBreak/>
        <w:t>Podporné procesy súvisiace so zberom požiadaviek, evidenciou a personalizáciou čipovej karty do digitálneho tachografu</w:t>
      </w:r>
      <w:bookmarkEnd w:id="11"/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 xml:space="preserve">Úvod 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Poskytovateľ musí zabezpečiť zber požiadaviek od koncových užívateľov na zberných miestach, ich evidenciu v IS DT, personalizáciu v súlade s technickým popisom čipovej karty (nahratie certifikátu, tlač popisu čipovej karty a pod.) a to všetkých druhov čipových kariet druhej generácie, ktorými sú karta vodiča, dielenská karta, kontrolná karta a podniková karta a jej dodávku prijímateľovi. 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sk-SK"/>
        </w:rPr>
      </w:pPr>
      <w:r w:rsidRPr="00120A7A">
        <w:rPr>
          <w:rFonts w:eastAsia="Calibri"/>
          <w:szCs w:val="22"/>
          <w:lang w:eastAsia="sk-SK"/>
        </w:rPr>
        <w:t>Ide o nasledovný zoznam procesov: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Prijatie žiadosti na zbernom mieste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Kontrolu žiadosti a dokladov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Vloženie žiadosti do informačného systému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Odoslanie dokladov do </w:t>
      </w:r>
      <w:proofErr w:type="spellStart"/>
      <w:r w:rsidRPr="00120A7A">
        <w:rPr>
          <w:lang w:eastAsia="sk-SK"/>
        </w:rPr>
        <w:t>personalizačného</w:t>
      </w:r>
      <w:proofErr w:type="spellEnd"/>
      <w:r w:rsidRPr="00120A7A">
        <w:rPr>
          <w:lang w:eastAsia="sk-SK"/>
        </w:rPr>
        <w:t xml:space="preserve"> centra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Tlač sprievodných dokladov k čipovej karte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Zabezpečenie všetkého materiálovo technického vybavenia potrebného k vykonaniu podporných činností (kartový polotovar, vybavenie zberných miest, papier, obálky a pod.)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Manipuláciu s kartovým polotovarom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Personalizáciu čipovej karty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proofErr w:type="spellStart"/>
      <w:r w:rsidRPr="00120A7A">
        <w:rPr>
          <w:lang w:eastAsia="sk-SK"/>
        </w:rPr>
        <w:t>Obálkovanie</w:t>
      </w:r>
      <w:proofErr w:type="spellEnd"/>
      <w:r w:rsidRPr="00120A7A">
        <w:rPr>
          <w:lang w:eastAsia="sk-SK"/>
        </w:rPr>
        <w:t xml:space="preserve"> čipovej karty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Doklady k zásielkam a ich distribúciu 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Evidenciu zásielok a ich kontrolu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Riešenie reklamácií zásielok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Podporné a administratívne činnosti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Riešenie reklamácií čipových kariet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Účtovné činnosti a kontrolu platieb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Vystavovanie daňových dokladov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Zabezpečenie prevádzky siete zberných miest v zmysle požiadaviek v kap. 2.3.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Zaškolenie personálu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Kontrolu výkonu činnosti</w:t>
      </w:r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Prevádzku webovej stránky </w:t>
      </w:r>
      <w:hyperlink r:id="rId11" w:history="1">
        <w:r w:rsidRPr="00120A7A">
          <w:rPr>
            <w:color w:val="0000FF"/>
            <w:u w:val="single"/>
            <w:lang w:eastAsia="sk-SK"/>
          </w:rPr>
          <w:t>www.digitalnytachograf.sk</w:t>
        </w:r>
      </w:hyperlink>
    </w:p>
    <w:p w:rsidR="00DA5287" w:rsidRPr="00120A7A" w:rsidRDefault="00DA5287" w:rsidP="00DA5287">
      <w:pPr>
        <w:numPr>
          <w:ilvl w:val="0"/>
          <w:numId w:val="3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Prevádzka telefonického a emailového Helpdesk pre zamestnancov Objednávateľa 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sk-SK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sk-SK"/>
        </w:rPr>
      </w:pPr>
      <w:r w:rsidRPr="00120A7A">
        <w:rPr>
          <w:rFonts w:eastAsia="Calibri"/>
          <w:szCs w:val="22"/>
          <w:lang w:eastAsia="sk-SK"/>
        </w:rPr>
        <w:t>Čipové karty druhej generácie musia byť použiteľné v digitálnych tachografoch prvej generácie.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bookmarkStart w:id="12" w:name="_Ref36800444"/>
      <w:r w:rsidRPr="00120A7A">
        <w:rPr>
          <w:b/>
          <w:bCs/>
          <w:i/>
          <w:iCs/>
          <w:sz w:val="28"/>
          <w:szCs w:val="28"/>
          <w:lang w:eastAsia="sk-SK"/>
        </w:rPr>
        <w:lastRenderedPageBreak/>
        <w:t>Požiadavky na čipové karty</w:t>
      </w:r>
      <w:bookmarkEnd w:id="12"/>
      <w:r w:rsidRPr="00120A7A">
        <w:rPr>
          <w:b/>
          <w:bCs/>
          <w:i/>
          <w:iCs/>
          <w:sz w:val="28"/>
          <w:szCs w:val="28"/>
          <w:lang w:eastAsia="sk-SK"/>
        </w:rPr>
        <w:t xml:space="preserve"> 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Čipové karty musia byť vyhotovené v súlade s nasledujúcimi normami:</w:t>
      </w:r>
    </w:p>
    <w:p w:rsidR="00DA5287" w:rsidRPr="00120A7A" w:rsidRDefault="00DA5287" w:rsidP="00DA5287">
      <w:pPr>
        <w:numPr>
          <w:ilvl w:val="0"/>
          <w:numId w:val="2"/>
        </w:numPr>
        <w:spacing w:before="120" w:line="259" w:lineRule="auto"/>
        <w:ind w:left="357" w:hanging="357"/>
        <w:jc w:val="both"/>
        <w:rPr>
          <w:lang w:eastAsia="sk-SK"/>
        </w:rPr>
      </w:pPr>
      <w:r w:rsidRPr="00120A7A">
        <w:rPr>
          <w:lang w:eastAsia="sk-SK"/>
        </w:rPr>
        <w:t>ISO/IEC 7810 Identifikačné karty. Fyzikálne vlastnosti,</w:t>
      </w:r>
    </w:p>
    <w:p w:rsidR="00DA5287" w:rsidRPr="00120A7A" w:rsidRDefault="00DA5287" w:rsidP="00DA5287">
      <w:pPr>
        <w:numPr>
          <w:ilvl w:val="0"/>
          <w:numId w:val="2"/>
        </w:numPr>
        <w:spacing w:before="120" w:line="259" w:lineRule="auto"/>
        <w:ind w:left="357" w:hanging="357"/>
        <w:jc w:val="both"/>
        <w:rPr>
          <w:lang w:eastAsia="sk-SK"/>
        </w:rPr>
      </w:pPr>
      <w:r w:rsidRPr="00120A7A">
        <w:rPr>
          <w:lang w:eastAsia="sk-SK"/>
        </w:rPr>
        <w:t>ISO/IEC 7816 Identifikačné karty. Karty s integrovanými obvodmi</w:t>
      </w:r>
    </w:p>
    <w:p w:rsidR="00DA5287" w:rsidRPr="00120A7A" w:rsidRDefault="00DA5287" w:rsidP="00DA5287">
      <w:pPr>
        <w:numPr>
          <w:ilvl w:val="1"/>
          <w:numId w:val="28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Časť 2: Rozmery a umiestnenie kontaktov (ISO/IEC 7816-2: 2007),</w:t>
      </w:r>
    </w:p>
    <w:p w:rsidR="00DA5287" w:rsidRPr="00120A7A" w:rsidRDefault="00DA5287" w:rsidP="00DA5287">
      <w:pPr>
        <w:numPr>
          <w:ilvl w:val="1"/>
          <w:numId w:val="28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Časť 3: Elektronické signály a prenosové protokoly (ISO/IEC 7816-3: 2006),</w:t>
      </w:r>
    </w:p>
    <w:p w:rsidR="00DA5287" w:rsidRPr="00120A7A" w:rsidRDefault="00DA5287" w:rsidP="00DA5287">
      <w:pPr>
        <w:numPr>
          <w:ilvl w:val="1"/>
          <w:numId w:val="28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Časť 4: Organizácia, zabezpečenie a príkazy pre výmenu (ISO/IEC 7816-4: 2013 + </w:t>
      </w:r>
      <w:proofErr w:type="spellStart"/>
      <w:r w:rsidRPr="00120A7A">
        <w:rPr>
          <w:lang w:eastAsia="sk-SK"/>
        </w:rPr>
        <w:t>Cor</w:t>
      </w:r>
      <w:proofErr w:type="spellEnd"/>
      <w:r w:rsidRPr="00120A7A">
        <w:rPr>
          <w:lang w:eastAsia="sk-SK"/>
        </w:rPr>
        <w:t>. 1: 2014),</w:t>
      </w:r>
    </w:p>
    <w:p w:rsidR="00DA5287" w:rsidRPr="00120A7A" w:rsidRDefault="00DA5287" w:rsidP="00DA5287">
      <w:pPr>
        <w:numPr>
          <w:ilvl w:val="1"/>
          <w:numId w:val="28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Časť 6: Medziodborové dátové prvky pre výmenu (ISO/IEC 7816-6: 2004 + </w:t>
      </w:r>
      <w:proofErr w:type="spellStart"/>
      <w:r w:rsidRPr="00120A7A">
        <w:rPr>
          <w:lang w:eastAsia="sk-SK"/>
        </w:rPr>
        <w:t>Cor</w:t>
      </w:r>
      <w:proofErr w:type="spellEnd"/>
      <w:r w:rsidRPr="00120A7A">
        <w:rPr>
          <w:lang w:eastAsia="sk-SK"/>
        </w:rPr>
        <w:t>. 1: 2006),</w:t>
      </w:r>
    </w:p>
    <w:p w:rsidR="00DA5287" w:rsidRPr="00120A7A" w:rsidRDefault="00DA5287" w:rsidP="00DA5287">
      <w:pPr>
        <w:numPr>
          <w:ilvl w:val="1"/>
          <w:numId w:val="28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Časť 8: Príkazy pre operácie zabezpečenia (ISO/IEC 7816-8: 2004).</w:t>
      </w:r>
    </w:p>
    <w:p w:rsidR="00DA5287" w:rsidRPr="00120A7A" w:rsidRDefault="00DA5287" w:rsidP="00DA5287">
      <w:pPr>
        <w:numPr>
          <w:ilvl w:val="1"/>
          <w:numId w:val="28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Časť 1: </w:t>
      </w:r>
      <w:r>
        <w:rPr>
          <w:lang w:eastAsia="sk-SK"/>
        </w:rPr>
        <w:t>F</w:t>
      </w:r>
      <w:r w:rsidRPr="00120A7A">
        <w:rPr>
          <w:lang w:eastAsia="sk-SK"/>
        </w:rPr>
        <w:t>yzikálne vlastnosti,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Čipové karty musia byť otestované voči požiadavkám normy ISO/IEC 10373-3: 2010 Identifikačné karty. Skúšobné metódy. Časť 3: Karty s integrovanými obvodmi a s kontaktmi a súvisiace zariadenia s rozhraním.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Čipové karty musia spĺňať aj požiadavky kritérií predpísaného profilu ochrany pre inteligentný tachograf podľa tzv. </w:t>
      </w:r>
      <w:proofErr w:type="spellStart"/>
      <w:r w:rsidRPr="00120A7A">
        <w:rPr>
          <w:rFonts w:eastAsia="Calibri"/>
          <w:szCs w:val="22"/>
          <w:lang w:eastAsia="en-US"/>
        </w:rPr>
        <w:t>Common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Criteria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Protection</w:t>
      </w:r>
      <w:proofErr w:type="spellEnd"/>
      <w:r w:rsidRPr="00120A7A">
        <w:rPr>
          <w:rFonts w:eastAsia="Calibri"/>
          <w:szCs w:val="22"/>
          <w:lang w:eastAsia="en-US"/>
        </w:rPr>
        <w:t xml:space="preserve"> Profile </w:t>
      </w:r>
      <w:proofErr w:type="spellStart"/>
      <w:r w:rsidRPr="00120A7A">
        <w:rPr>
          <w:rFonts w:eastAsia="Calibri"/>
          <w:szCs w:val="22"/>
          <w:lang w:eastAsia="en-US"/>
        </w:rPr>
        <w:t>Digital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Tachograph</w:t>
      </w:r>
      <w:proofErr w:type="spellEnd"/>
      <w:r w:rsidRPr="00120A7A">
        <w:rPr>
          <w:rFonts w:eastAsia="Calibri"/>
          <w:szCs w:val="22"/>
          <w:lang w:eastAsia="en-US"/>
        </w:rPr>
        <w:t xml:space="preserve"> – </w:t>
      </w:r>
      <w:proofErr w:type="spellStart"/>
      <w:r w:rsidRPr="00120A7A">
        <w:rPr>
          <w:rFonts w:eastAsia="Calibri"/>
          <w:szCs w:val="22"/>
          <w:lang w:eastAsia="en-US"/>
        </w:rPr>
        <w:t>Tachograph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Card</w:t>
      </w:r>
      <w:proofErr w:type="spellEnd"/>
      <w:r w:rsidRPr="00120A7A">
        <w:rPr>
          <w:rFonts w:eastAsia="Calibri"/>
          <w:szCs w:val="22"/>
          <w:lang w:eastAsia="en-US"/>
        </w:rPr>
        <w:t xml:space="preserve"> (TC PP) v súlade s požiadavkami podľa prílohy 1C vykonávacieho nariadenia (EÚ) 2016/799. Čipové karty podliehajú procesu hodnotenia a certifikácie čo je jedným z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>predpokladov na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>získanie typového schválenia čipovej karty.</w:t>
      </w:r>
    </w:p>
    <w:p w:rsidR="00DA5287" w:rsidRPr="00120A7A" w:rsidRDefault="00DA5287" w:rsidP="00DA5287">
      <w:pPr>
        <w:spacing w:before="120" w:after="120"/>
        <w:jc w:val="both"/>
        <w:rPr>
          <w:rFonts w:eastAsia="Calibri"/>
          <w:b/>
          <w:bCs/>
          <w:lang w:eastAsia="en-US"/>
        </w:rPr>
      </w:pPr>
      <w:bookmarkStart w:id="13" w:name="_Ref36800446"/>
      <w:r w:rsidRPr="00120A7A">
        <w:rPr>
          <w:rFonts w:eastAsia="Calibri"/>
          <w:b/>
          <w:bCs/>
          <w:lang w:eastAsia="en-US"/>
        </w:rPr>
        <w:t>Konštrukčné a funkčné požiadavky na čipové karty druhej generácie</w:t>
      </w:r>
      <w:bookmarkEnd w:id="13"/>
    </w:p>
    <w:p w:rsidR="00DA5287" w:rsidRPr="00120A7A" w:rsidRDefault="00DA5287" w:rsidP="00DA5287">
      <w:pPr>
        <w:spacing w:line="259" w:lineRule="auto"/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Čipové karty pre digitálny tachograf druhej generácie sú nasledovných typov:</w:t>
      </w:r>
    </w:p>
    <w:p w:rsidR="00DA5287" w:rsidRPr="00120A7A" w:rsidRDefault="00DA5287" w:rsidP="00DA5287">
      <w:pPr>
        <w:numPr>
          <w:ilvl w:val="0"/>
          <w:numId w:val="1"/>
        </w:numPr>
        <w:spacing w:before="12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karta vodiča</w:t>
      </w:r>
    </w:p>
    <w:p w:rsidR="00DA5287" w:rsidRPr="00120A7A" w:rsidRDefault="00DA5287" w:rsidP="00DA5287">
      <w:pPr>
        <w:numPr>
          <w:ilvl w:val="0"/>
          <w:numId w:val="1"/>
        </w:numPr>
        <w:spacing w:before="12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podniková karta</w:t>
      </w:r>
    </w:p>
    <w:p w:rsidR="00DA5287" w:rsidRPr="00120A7A" w:rsidRDefault="00DA5287" w:rsidP="00DA5287">
      <w:pPr>
        <w:numPr>
          <w:ilvl w:val="0"/>
          <w:numId w:val="1"/>
        </w:numPr>
        <w:spacing w:before="12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kontrolná karta</w:t>
      </w:r>
    </w:p>
    <w:p w:rsidR="00DA5287" w:rsidRPr="00120A7A" w:rsidRDefault="00DA5287" w:rsidP="00DA5287">
      <w:pPr>
        <w:numPr>
          <w:ilvl w:val="0"/>
          <w:numId w:val="1"/>
        </w:numPr>
        <w:spacing w:before="12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dielenská karta</w:t>
      </w:r>
    </w:p>
    <w:p w:rsidR="00DA5287" w:rsidRPr="00120A7A" w:rsidRDefault="00DA5287" w:rsidP="00DA5287">
      <w:pPr>
        <w:keepNext/>
        <w:spacing w:line="259" w:lineRule="auto"/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Predná strana musí obsahovať:</w:t>
      </w:r>
    </w:p>
    <w:p w:rsidR="00DA5287" w:rsidRPr="00120A7A" w:rsidRDefault="00DA5287" w:rsidP="00DA5287">
      <w:pPr>
        <w:keepNext/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slová „karta vodiča“ alebo „kontrolná karta“ alebo „dielenská karta“ alebo „podniková karta“, vytlačené veľkými písmenami v úradnom jazyku alebo jazykoch členského štátu, ktorý čipovú kartu vydal, podľa typu čipovej karty;</w:t>
      </w:r>
    </w:p>
    <w:p w:rsidR="00DA5287" w:rsidRPr="00120A7A" w:rsidRDefault="00DA5287" w:rsidP="00DA5287">
      <w:pPr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názov členského štátu, ktorý čipovú kartu vydal (nepovinné);</w:t>
      </w:r>
    </w:p>
    <w:p w:rsidR="00DA5287" w:rsidRPr="00120A7A" w:rsidRDefault="00DA5287" w:rsidP="00DA5287">
      <w:pPr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negatív rozlišovacieho znaku členského štátu, ktorý čipovú kartu vydal, v modrom obdĺžniku a obkolesený 12 žltými hviezdičkami;</w:t>
      </w:r>
    </w:p>
    <w:p w:rsidR="00DA5287" w:rsidRPr="00120A7A" w:rsidRDefault="00DA5287" w:rsidP="00DA5287">
      <w:pPr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informácie špecifické pre vydanú čipovú kartu očíslované nasledovným spôsobom:</w:t>
      </w:r>
    </w:p>
    <w:tbl>
      <w:tblPr>
        <w:tblpPr w:leftFromText="141" w:rightFromText="141" w:vertAnchor="text" w:horzAnchor="margin" w:tblpY="131"/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03"/>
        <w:gridCol w:w="2506"/>
        <w:gridCol w:w="2607"/>
      </w:tblGrid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jc w:val="both"/>
              <w:rPr>
                <w:lang w:eastAsia="sk-SK"/>
              </w:rPr>
            </w:pPr>
            <w:r w:rsidRPr="00120A7A">
              <w:rPr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Karta vodiča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Kontrolná karta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Podniková alebo dielenská karta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Priezvisko vodiča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Názov kontrolného orgánu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Názov podniku alebo dielne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Meno(á) vodiča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Priezvisko kontrolóra</w:t>
            </w:r>
          </w:p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(v prípade potreby)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priezvisko držiteľa karty</w:t>
            </w:r>
          </w:p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(v prípade potreby)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Dátum narodenia vodiča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Meno(á) kontrolóra</w:t>
            </w:r>
          </w:p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(v prípade potreby)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meno(á) držiteľa karty</w:t>
            </w:r>
          </w:p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(v prípade potreby)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4.a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Dátum začiatku platnosti karty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4.b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Dátum skončenia platnosti karty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4.c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Názov vydávajúceho orgánu (môže byť vytlačený na zadnej strane)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4.d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iné číslo, než je číslo v bode 5, na administratívne účely (nepovinné)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5.a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Číslo vodičského preukazu</w:t>
            </w:r>
          </w:p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(k dátumu vydania karty vodiča)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—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5.b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Číslo karty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Fotografia vodiča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Fotografia kontrolóra (nepovinné)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Fotografia montéra (nepovinné)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Podpis držiteľa (nepovinné)</w:t>
            </w:r>
          </w:p>
        </w:tc>
      </w:tr>
      <w:tr w:rsidR="00DA5287" w:rsidRPr="00120A7A" w:rsidTr="007344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ind w:right="195"/>
              <w:jc w:val="center"/>
              <w:rPr>
                <w:b/>
                <w:bCs/>
                <w:szCs w:val="22"/>
                <w:lang w:eastAsia="sk-SK"/>
              </w:rPr>
            </w:pPr>
            <w:r w:rsidRPr="00120A7A">
              <w:rPr>
                <w:b/>
                <w:bCs/>
                <w:szCs w:val="22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bydlisko alebo poštová adresa držiteľa (nepovinné).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Poštová adresa kontrolného orgánu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287" w:rsidRPr="00120A7A" w:rsidRDefault="00DA5287" w:rsidP="00734466">
            <w:pPr>
              <w:spacing w:before="60" w:after="60"/>
              <w:jc w:val="both"/>
              <w:rPr>
                <w:szCs w:val="22"/>
                <w:lang w:eastAsia="sk-SK"/>
              </w:rPr>
            </w:pPr>
            <w:r w:rsidRPr="00120A7A">
              <w:rPr>
                <w:szCs w:val="22"/>
                <w:lang w:eastAsia="sk-SK"/>
              </w:rPr>
              <w:t>Poštová adresa podniku alebo dielne</w:t>
            </w:r>
          </w:p>
        </w:tc>
      </w:tr>
    </w:tbl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forma písania dátumu je „</w:t>
      </w:r>
      <w:proofErr w:type="spellStart"/>
      <w:r w:rsidRPr="00120A7A">
        <w:rPr>
          <w:lang w:eastAsia="sk-SK"/>
        </w:rPr>
        <w:t>dd</w:t>
      </w:r>
      <w:proofErr w:type="spellEnd"/>
      <w:r w:rsidRPr="00120A7A">
        <w:rPr>
          <w:lang w:eastAsia="sk-SK"/>
        </w:rPr>
        <w:t>/mm/</w:t>
      </w:r>
      <w:proofErr w:type="spellStart"/>
      <w:r w:rsidRPr="00120A7A">
        <w:rPr>
          <w:lang w:eastAsia="sk-SK"/>
        </w:rPr>
        <w:t>rrrr</w:t>
      </w:r>
      <w:proofErr w:type="spellEnd"/>
      <w:r w:rsidRPr="00120A7A">
        <w:rPr>
          <w:lang w:eastAsia="sk-SK"/>
        </w:rPr>
        <w:t>“ alebo „</w:t>
      </w:r>
      <w:proofErr w:type="spellStart"/>
      <w:r w:rsidRPr="00120A7A">
        <w:rPr>
          <w:lang w:eastAsia="sk-SK"/>
        </w:rPr>
        <w:t>dd.mm.rrrr</w:t>
      </w:r>
      <w:proofErr w:type="spellEnd"/>
      <w:r w:rsidRPr="00120A7A">
        <w:rPr>
          <w:lang w:eastAsia="sk-SK"/>
        </w:rPr>
        <w:t xml:space="preserve">“ (deň, mesiac, rok) 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lang w:eastAsia="en-US"/>
        </w:rPr>
      </w:pPr>
    </w:p>
    <w:p w:rsidR="00DA5287" w:rsidRPr="00120A7A" w:rsidRDefault="00DA5287" w:rsidP="00DA5287">
      <w:pPr>
        <w:spacing w:line="259" w:lineRule="auto"/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Zadná strana musí obsahovať:</w:t>
      </w:r>
    </w:p>
    <w:p w:rsidR="00DA5287" w:rsidRPr="00120A7A" w:rsidRDefault="00DA5287" w:rsidP="00DA5287">
      <w:pPr>
        <w:numPr>
          <w:ilvl w:val="0"/>
          <w:numId w:val="8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vysvetlenie k očíslovaným údajom na prednej strane čipovej karty;</w:t>
      </w:r>
    </w:p>
    <w:p w:rsidR="00DA5287" w:rsidRPr="00120A7A" w:rsidRDefault="00DA5287" w:rsidP="00DA5287">
      <w:pPr>
        <w:numPr>
          <w:ilvl w:val="0"/>
          <w:numId w:val="8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 výslovným písomným súhlasom držiteľa môžu byť doplnené aj informácie, ktoré sa netýkajú administratívnych záležitosti súvisiacich s kartou; takéto doplnenie nijako nemení používanie modelu ako čipovej karty.</w:t>
      </w:r>
    </w:p>
    <w:p w:rsidR="00DA5287" w:rsidRPr="00120A7A" w:rsidRDefault="00DA5287" w:rsidP="00DA5287">
      <w:pPr>
        <w:numPr>
          <w:ilvl w:val="0"/>
          <w:numId w:val="8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Čipové karty musia byť vytlačené s týmito prevažujúcimi farbami pozadia:</w:t>
      </w:r>
    </w:p>
    <w:p w:rsidR="00DA5287" w:rsidRPr="00120A7A" w:rsidRDefault="00DA5287" w:rsidP="00DA5287">
      <w:pPr>
        <w:numPr>
          <w:ilvl w:val="1"/>
          <w:numId w:val="9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>karta vodiča: biela,</w:t>
      </w:r>
    </w:p>
    <w:p w:rsidR="00DA5287" w:rsidRPr="00120A7A" w:rsidRDefault="00DA5287" w:rsidP="00DA5287">
      <w:pPr>
        <w:numPr>
          <w:ilvl w:val="1"/>
          <w:numId w:val="9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>kontrolná karta: modrá,</w:t>
      </w:r>
    </w:p>
    <w:p w:rsidR="00DA5287" w:rsidRPr="00120A7A" w:rsidRDefault="00DA5287" w:rsidP="00DA5287">
      <w:pPr>
        <w:numPr>
          <w:ilvl w:val="1"/>
          <w:numId w:val="9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>dielenská karta: červená,</w:t>
      </w:r>
    </w:p>
    <w:p w:rsidR="00DA5287" w:rsidRPr="00120A7A" w:rsidRDefault="00DA5287" w:rsidP="00DA5287">
      <w:pPr>
        <w:numPr>
          <w:ilvl w:val="1"/>
          <w:numId w:val="9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>podniková karta: žltá.</w:t>
      </w:r>
    </w:p>
    <w:p w:rsidR="00DA5287" w:rsidRPr="00120A7A" w:rsidRDefault="00DA5287" w:rsidP="00DA5287">
      <w:pPr>
        <w:numPr>
          <w:ilvl w:val="0"/>
          <w:numId w:val="8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Telo čipovej karty musí byť vybavené aspoň týmito ochrannými prvkami proti falšovaniu alebo neoprávneným zásahom:</w:t>
      </w:r>
    </w:p>
    <w:p w:rsidR="00DA5287" w:rsidRPr="00120A7A" w:rsidRDefault="00DA5287" w:rsidP="00DA5287">
      <w:pPr>
        <w:numPr>
          <w:ilvl w:val="1"/>
          <w:numId w:val="10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>ochranná podtlač s gilošovaným vzorom a írisovou tlačou.</w:t>
      </w:r>
    </w:p>
    <w:p w:rsidR="00DA5287" w:rsidRPr="00120A7A" w:rsidRDefault="00DA5287" w:rsidP="00DA5287">
      <w:pPr>
        <w:numPr>
          <w:ilvl w:val="1"/>
          <w:numId w:val="10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>v oblasti fotografie sa ochranná podtlač musí prekrývať s fotografiou.</w:t>
      </w:r>
    </w:p>
    <w:p w:rsidR="00DA5287" w:rsidRPr="00120A7A" w:rsidRDefault="00DA5287" w:rsidP="00DA5287">
      <w:pPr>
        <w:numPr>
          <w:ilvl w:val="1"/>
          <w:numId w:val="10"/>
        </w:numPr>
        <w:spacing w:before="120"/>
        <w:ind w:left="1066" w:hanging="357"/>
        <w:jc w:val="both"/>
        <w:rPr>
          <w:lang w:eastAsia="sk-SK"/>
        </w:rPr>
      </w:pPr>
      <w:r w:rsidRPr="00120A7A">
        <w:rPr>
          <w:lang w:eastAsia="sk-SK"/>
        </w:rPr>
        <w:t xml:space="preserve">aspoň jeden dvojfarebný </w:t>
      </w:r>
      <w:proofErr w:type="spellStart"/>
      <w:r w:rsidRPr="00120A7A">
        <w:rPr>
          <w:lang w:eastAsia="sk-SK"/>
        </w:rPr>
        <w:t>mikrotlačový</w:t>
      </w:r>
      <w:proofErr w:type="spellEnd"/>
      <w:r w:rsidRPr="00120A7A">
        <w:rPr>
          <w:lang w:eastAsia="sk-SK"/>
        </w:rPr>
        <w:t xml:space="preserve"> prúžok.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noProof/>
          <w:color w:val="000000"/>
          <w:lang w:eastAsia="sk-SK"/>
        </w:rPr>
        <w:lastRenderedPageBreak/>
        <w:drawing>
          <wp:inline distT="0" distB="0" distL="0" distR="0" wp14:anchorId="18A48569" wp14:editId="7A9ED60C">
            <wp:extent cx="5057775" cy="5644686"/>
            <wp:effectExtent l="0" t="0" r="0" b="0"/>
            <wp:docPr id="1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21" cy="567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po konzultácií s Komisiou môžu členské štáty doplniť farby alebo značenia, ako sú symboly členského štátu a prvky zabezpečenia bez toho, aby tým boli dotknuté ostatné ustanovenia v zmysle prílohy 1 C vykonávacieho nariadenia 799/2016;</w:t>
      </w:r>
    </w:p>
    <w:p w:rsidR="00DA5287" w:rsidRPr="00120A7A" w:rsidRDefault="00DA5287" w:rsidP="00DA5287">
      <w:pPr>
        <w:numPr>
          <w:ilvl w:val="0"/>
          <w:numId w:val="8"/>
        </w:numPr>
        <w:spacing w:before="120" w:line="259" w:lineRule="auto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dočasné čipové karty v článku podľa nariadenia (EÚ) č. 165/2014 musia byť v súlade s ustanoveniami prílohy 1 C vykonávacieho nariadenia 799/2016.</w:t>
      </w:r>
    </w:p>
    <w:p w:rsidR="00DA5287" w:rsidRPr="00120A7A" w:rsidRDefault="00DA5287" w:rsidP="00DA5287">
      <w:pPr>
        <w:spacing w:line="259" w:lineRule="auto"/>
        <w:ind w:left="714"/>
        <w:contextualSpacing/>
        <w:rPr>
          <w:sz w:val="20"/>
          <w:szCs w:val="20"/>
          <w:lang w:eastAsia="sk-SK"/>
        </w:rPr>
      </w:pP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Čipové karty pre digitálny tachograf druhej generácie musia byť v súlade s požiadavkami nariadenia a národnej politiky certifikačného orgánu a dodržiavať podmienky typového schválenia. 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Požiadavky na zberné miesta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Poskytovateľ IS DT musí zabezpečiť poskytovanie služieb prijímateľom čipových kariet prostredníctvom zberných miest v rámci Slovenskej republiky.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lastRenderedPageBreak/>
        <w:t xml:space="preserve">Poskytovateľ musí od spustenia služby DT vo vlastnej správe zabezpečiť dostupnosť minimálne jedného zberného miesta v každom kraji, s kapacitou vybaviť spolu min. 100 žiadostí denne. Zberné miesto musí byť dostatočne označené, so zverejnenými vlastnými kontaktnými údajmi (telefonicky, elektronicky) a verejne dostupné.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Zberné miesta musia mať zabezpečený nepretržitý prístup do IS DT za účelom vybavenia žiadostí a relevantných požiadaviek prijímateľov čipových kariet.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Poskytovateľ IS DT v súvislosti so zbernými miestami zodpovedá za:</w:t>
      </w:r>
    </w:p>
    <w:p w:rsidR="00DA5287" w:rsidRPr="00120A7A" w:rsidRDefault="00DA5287" w:rsidP="00DA5287">
      <w:pPr>
        <w:numPr>
          <w:ilvl w:val="0"/>
          <w:numId w:val="26"/>
        </w:numPr>
        <w:spacing w:before="120" w:after="120"/>
        <w:ind w:left="567" w:hanging="357"/>
        <w:jc w:val="both"/>
        <w:rPr>
          <w:lang w:eastAsia="sk-SK"/>
        </w:rPr>
      </w:pPr>
      <w:r w:rsidRPr="00120A7A">
        <w:rPr>
          <w:lang w:eastAsia="sk-SK"/>
        </w:rPr>
        <w:t>školenia oprávnených zamestnancov zberných miest, ktorí budú zabezpečovať plynulý priebeh poskytovaných služieb,</w:t>
      </w:r>
    </w:p>
    <w:p w:rsidR="00DA5287" w:rsidRPr="00120A7A" w:rsidRDefault="00DA5287" w:rsidP="00DA5287">
      <w:pPr>
        <w:numPr>
          <w:ilvl w:val="0"/>
          <w:numId w:val="26"/>
        </w:numPr>
        <w:spacing w:before="120" w:after="120"/>
        <w:ind w:left="567" w:hanging="357"/>
        <w:jc w:val="both"/>
        <w:rPr>
          <w:lang w:eastAsia="sk-SK"/>
        </w:rPr>
      </w:pPr>
      <w:r w:rsidRPr="00120A7A">
        <w:rPr>
          <w:lang w:eastAsia="sk-SK"/>
        </w:rPr>
        <w:t>na základe úspešne vykonaného školenia zabezpečiť oprávneným zamestnancom prihlasovacie údaje do IS DT,</w:t>
      </w:r>
    </w:p>
    <w:p w:rsidR="00DA5287" w:rsidRPr="00120A7A" w:rsidRDefault="00DA5287" w:rsidP="00DA5287">
      <w:pPr>
        <w:numPr>
          <w:ilvl w:val="0"/>
          <w:numId w:val="26"/>
        </w:numPr>
        <w:spacing w:before="120" w:after="120"/>
        <w:ind w:left="567" w:hanging="357"/>
        <w:jc w:val="both"/>
        <w:rPr>
          <w:lang w:eastAsia="sk-SK"/>
        </w:rPr>
      </w:pPr>
      <w:r w:rsidRPr="00120A7A">
        <w:rPr>
          <w:lang w:eastAsia="sk-SK"/>
        </w:rPr>
        <w:t xml:space="preserve">zabezpečenie žiadostí potrebných pre plnenie povinností týkajúcich sa vybavenia požiadaviek prijímateľov čipových kariet. </w:t>
      </w:r>
    </w:p>
    <w:p w:rsidR="00DA5287" w:rsidRPr="00120A7A" w:rsidRDefault="00DA5287" w:rsidP="00DA5287">
      <w:pPr>
        <w:numPr>
          <w:ilvl w:val="0"/>
          <w:numId w:val="26"/>
        </w:numPr>
        <w:spacing w:before="120" w:after="120"/>
        <w:ind w:left="567" w:hanging="357"/>
        <w:jc w:val="both"/>
        <w:rPr>
          <w:lang w:eastAsia="sk-SK"/>
        </w:rPr>
      </w:pPr>
      <w:r w:rsidRPr="00120A7A">
        <w:rPr>
          <w:lang w:eastAsia="sk-SK"/>
        </w:rPr>
        <w:t>potrebné technické zabezpečenie, dokumentáciu a prístup do IS DT a zabezpečiť ich plnú funkčnosť po celú dobu prevádzky IS DT;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Poskytovateľ IS DT je povinný zabezpečiť sprístupnenie zberného miesta pre plnenie Služby v pracovné dni Pondelok až Piatok medzi 8.00 hod a 17.00 hodinou, tak, aby počas vymedzeného času mohla riadne poskytovať dohodnuté Služby. Poskytovateľ zabezpečí, aby si zberné miesta </w:t>
      </w:r>
      <w:r>
        <w:rPr>
          <w:rFonts w:eastAsia="Calibri"/>
          <w:szCs w:val="22"/>
          <w:lang w:eastAsia="en-US"/>
        </w:rPr>
        <w:t xml:space="preserve">okrem odplaty za vydávanie čipovej karty, uvedenej v článku 5 bod 20 Zmluvy, </w:t>
      </w:r>
      <w:r w:rsidRPr="00120A7A">
        <w:rPr>
          <w:rFonts w:eastAsia="Calibri"/>
          <w:szCs w:val="22"/>
          <w:lang w:eastAsia="en-US"/>
        </w:rPr>
        <w:t xml:space="preserve">neúčtovali žiadne poplatky od prijímateľov. V prípade, že sprístupnenie zberného miesta bude závislé od vydania akýchkoľvek povolení podľa platných právnych predpisov SR, budú tieto povolenia zabezpečené zo strany </w:t>
      </w:r>
      <w:r>
        <w:rPr>
          <w:rFonts w:eastAsia="Calibri"/>
          <w:szCs w:val="22"/>
          <w:lang w:eastAsia="en-US"/>
        </w:rPr>
        <w:t>Poskytovateľa</w:t>
      </w:r>
      <w:r w:rsidRPr="00120A7A">
        <w:rPr>
          <w:rFonts w:eastAsia="Calibri"/>
          <w:szCs w:val="22"/>
          <w:lang w:eastAsia="en-US"/>
        </w:rPr>
        <w:t>.</w:t>
      </w:r>
    </w:p>
    <w:p w:rsidR="00DA5287" w:rsidRPr="00120A7A" w:rsidRDefault="00DA5287" w:rsidP="00DA5287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br w:type="page"/>
      </w:r>
    </w:p>
    <w:p w:rsidR="00DA5287" w:rsidRPr="00120A7A" w:rsidRDefault="00DA5287" w:rsidP="00DA5287">
      <w:pPr>
        <w:keepNext/>
        <w:keepLines/>
        <w:numPr>
          <w:ilvl w:val="0"/>
          <w:numId w:val="18"/>
        </w:numPr>
        <w:spacing w:before="240" w:after="360"/>
        <w:ind w:left="431" w:hanging="431"/>
        <w:jc w:val="both"/>
        <w:outlineLvl w:val="0"/>
        <w:rPr>
          <w:b/>
          <w:color w:val="000000"/>
          <w:sz w:val="32"/>
          <w:szCs w:val="32"/>
          <w:lang w:eastAsia="en-US"/>
        </w:rPr>
      </w:pPr>
      <w:bookmarkStart w:id="14" w:name="_Ref36800318"/>
      <w:r w:rsidRPr="00120A7A">
        <w:rPr>
          <w:b/>
          <w:color w:val="000000"/>
          <w:sz w:val="32"/>
          <w:szCs w:val="32"/>
          <w:lang w:eastAsia="en-US"/>
        </w:rPr>
        <w:lastRenderedPageBreak/>
        <w:t>Technické a výkonové požiadavky na IS DT a Podpor</w:t>
      </w:r>
      <w:r>
        <w:rPr>
          <w:b/>
          <w:color w:val="000000"/>
          <w:sz w:val="32"/>
          <w:szCs w:val="32"/>
          <w:lang w:eastAsia="en-US"/>
        </w:rPr>
        <w:t>n</w:t>
      </w:r>
      <w:r w:rsidRPr="00120A7A">
        <w:rPr>
          <w:b/>
          <w:color w:val="000000"/>
          <w:sz w:val="32"/>
          <w:szCs w:val="32"/>
          <w:lang w:eastAsia="en-US"/>
        </w:rPr>
        <w:t>é procesy</w:t>
      </w:r>
      <w:bookmarkEnd w:id="14"/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Výkonové požiadavky na prevádzku IS DT a Podporných procesov</w:t>
      </w:r>
    </w:p>
    <w:p w:rsidR="00DA5287" w:rsidRPr="00120A7A" w:rsidRDefault="00DA5287" w:rsidP="00DA5287">
      <w:pPr>
        <w:spacing w:line="259" w:lineRule="auto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Ostatné požiadavky (KPI) na prevádzkovanú službu sú definované nasledovne (vyhodnocované na kvartálnej báze):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Dostupnosť IS DT min. 99% počas otváracích hodín zberných miest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proofErr w:type="spellStart"/>
      <w:r w:rsidRPr="00120A7A">
        <w:rPr>
          <w:lang w:eastAsia="sk-SK"/>
        </w:rPr>
        <w:t>Recovery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time</w:t>
      </w:r>
      <w:proofErr w:type="spellEnd"/>
      <w:r w:rsidRPr="00120A7A">
        <w:rPr>
          <w:lang w:eastAsia="sk-SK"/>
        </w:rPr>
        <w:t xml:space="preserve"> v prípade výpadku IS DT max. 4 hodiny.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Odstránenie kritickej chyby IS DT do jedného pracovného dňa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Odstránenie ostatných chýb IS DT do troch pracovných dní (alebo na základe individuálnej dohody s Objednávateľom v závislosti od rozsahu a charakteru chyby)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Dostupnosť webstránky 99% v režime 24/7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Minimálna kapacita na príjem žiadostí 100ks/pracovný deň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Maximálna doba od podania žiadosti po dodanie zásielky prijímateľovi 20 pracovných dní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Maximálna chybovosť čipových kariet 1%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Dostupnosť helpdesk-u pre pracovníkov Objednávateľa v pracovných dňoch v čase 8:00-17:00 na poskytovanie operatívnej podpory pre riešenie otázok od prijímateľov, nahlasovanie porúch a pod.</w:t>
      </w:r>
    </w:p>
    <w:p w:rsidR="00DA5287" w:rsidRPr="00120A7A" w:rsidRDefault="00DA5287" w:rsidP="00DA5287">
      <w:pPr>
        <w:numPr>
          <w:ilvl w:val="0"/>
          <w:numId w:val="17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Poskytovanie mesačného </w:t>
      </w:r>
      <w:proofErr w:type="spellStart"/>
      <w:r w:rsidRPr="00120A7A">
        <w:rPr>
          <w:lang w:eastAsia="sk-SK"/>
        </w:rPr>
        <w:t>reportingu</w:t>
      </w:r>
      <w:proofErr w:type="spellEnd"/>
      <w:r w:rsidRPr="00120A7A">
        <w:rPr>
          <w:lang w:eastAsia="sk-SK"/>
        </w:rPr>
        <w:t xml:space="preserve"> plnenia všetkých </w:t>
      </w:r>
      <w:proofErr w:type="spellStart"/>
      <w:r w:rsidRPr="00120A7A">
        <w:rPr>
          <w:lang w:eastAsia="sk-SK"/>
        </w:rPr>
        <w:t>KPIs</w:t>
      </w:r>
      <w:proofErr w:type="spellEnd"/>
      <w:r w:rsidRPr="00120A7A">
        <w:rPr>
          <w:lang w:eastAsia="sk-SK"/>
        </w:rPr>
        <w:t xml:space="preserve"> uvedených vyššie a tiež </w:t>
      </w:r>
      <w:proofErr w:type="spellStart"/>
      <w:r w:rsidRPr="00120A7A">
        <w:rPr>
          <w:lang w:eastAsia="sk-SK"/>
        </w:rPr>
        <w:t>reporting</w:t>
      </w:r>
      <w:proofErr w:type="spellEnd"/>
      <w:r w:rsidRPr="00120A7A">
        <w:rPr>
          <w:lang w:eastAsia="sk-SK"/>
        </w:rPr>
        <w:t xml:space="preserve"> počtu prijatých a vybavených žiadostí v členení na dni, typy čipových kariet, zberné miesta a počty čipových kariet v ich jednotlivých stavoch podľa procesu.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Opatrenia fyzickej bezpečnosti</w:t>
      </w:r>
    </w:p>
    <w:p w:rsidR="00DA5287" w:rsidRPr="00120A7A" w:rsidRDefault="00DA5287" w:rsidP="00DA5287">
      <w:pPr>
        <w:numPr>
          <w:ilvl w:val="0"/>
          <w:numId w:val="16"/>
        </w:numPr>
        <w:spacing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Služby generovania kľúčov a certifikátov a súvisiace služby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musia byť umiestnené v zabezpečenej oblasti, chránenej definovaným bezpečnostným </w:t>
      </w:r>
      <w:proofErr w:type="spellStart"/>
      <w:r w:rsidRPr="00120A7A">
        <w:rPr>
          <w:lang w:eastAsia="sk-SK"/>
        </w:rPr>
        <w:t>perimetrom</w:t>
      </w:r>
      <w:proofErr w:type="spellEnd"/>
      <w:r w:rsidRPr="00120A7A">
        <w:rPr>
          <w:lang w:eastAsia="sk-SK"/>
        </w:rPr>
        <w:t>, s vhodnými bezpečnostnými mechanizmami a kontrolou vstupu, aby sa zabránilo neoprávnenému prístupu, poškodeniu a narušeniu. Táto oblasť musí byť zabezpečená elektronickým zabezpečovacím systémom a strážnou službou s dohľadom 24x7.</w:t>
      </w:r>
    </w:p>
    <w:p w:rsidR="00DA5287" w:rsidRPr="00120A7A" w:rsidRDefault="00DA5287" w:rsidP="00DA5287">
      <w:pPr>
        <w:numPr>
          <w:ilvl w:val="0"/>
          <w:numId w:val="16"/>
        </w:numPr>
        <w:spacing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Systémy certifikačného orgánu musia byť zabezpečené dostatočnými kapacitami napájania so zabezpečením redundancie klimatizačných jednotiek.</w:t>
      </w:r>
    </w:p>
    <w:p w:rsidR="00DA5287" w:rsidRPr="00120A7A" w:rsidRDefault="00DA5287" w:rsidP="00DA5287">
      <w:pPr>
        <w:numPr>
          <w:ilvl w:val="0"/>
          <w:numId w:val="16"/>
        </w:numPr>
        <w:spacing w:after="120"/>
        <w:jc w:val="both"/>
        <w:rPr>
          <w:lang w:eastAsia="sk-SK"/>
        </w:rPr>
      </w:pPr>
      <w:r w:rsidRPr="00120A7A">
        <w:rPr>
          <w:lang w:eastAsia="sk-SK"/>
        </w:rPr>
        <w:t xml:space="preserve">Systémy certifikačného orgánu a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a úložiská používané na</w:t>
      </w:r>
      <w:r>
        <w:rPr>
          <w:lang w:eastAsia="sk-SK"/>
        </w:rPr>
        <w:t> </w:t>
      </w:r>
      <w:r w:rsidRPr="00120A7A">
        <w:rPr>
          <w:lang w:eastAsia="sk-SK"/>
        </w:rPr>
        <w:t>ukladanie dôverných informácií, ako sú pevné disky, čipové karty a HSM, musia byť chránené pred neoprávneným alebo neúmyselným používaním, prístupom, prezradením alebo poškodením ľuďmi a inými hrozbami prostredia ( napr. požiar, voda).</w:t>
      </w:r>
    </w:p>
    <w:p w:rsidR="00DA5287" w:rsidRPr="00120A7A" w:rsidRDefault="00DA5287" w:rsidP="00DA5287">
      <w:pPr>
        <w:numPr>
          <w:ilvl w:val="0"/>
          <w:numId w:val="16"/>
        </w:numPr>
        <w:spacing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Záložné a inštalačné médiá musia byť uložené v geograficky vzdialenom inom mieste, ktoré je fyzicky zabezpečené a chránené pred neoprávneným alebo neúmyselným použitím, prístupom, prezradením alebo poškodením ľuďmi alebo inými hrozbami prostredia (napr. požiar, voda).</w:t>
      </w:r>
    </w:p>
    <w:p w:rsidR="00DA5287" w:rsidRPr="00120A7A" w:rsidRDefault="00DA5287" w:rsidP="00DA5287">
      <w:pPr>
        <w:tabs>
          <w:tab w:val="left" w:pos="8060"/>
        </w:tabs>
        <w:spacing w:after="120"/>
        <w:jc w:val="both"/>
        <w:rPr>
          <w:rFonts w:eastAsia="Calibri"/>
          <w:lang w:eastAsia="en-US"/>
        </w:rPr>
      </w:pPr>
    </w:p>
    <w:p w:rsidR="00DA5287" w:rsidRPr="00120A7A" w:rsidRDefault="00DA5287" w:rsidP="00DA5287">
      <w:pPr>
        <w:numPr>
          <w:ilvl w:val="0"/>
          <w:numId w:val="16"/>
        </w:numPr>
        <w:spacing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lastRenderedPageBreak/>
        <w:t>Aby sa zabránilo neoprávnenému použitiu, prístupu alebo sprístupneniu dôverných údajov, musia sa zaviesť postupy na bezpečnú likvidáciu údajov (spôsobom, aby sa údaje nedali spätne reprodukovať).</w:t>
      </w:r>
    </w:p>
    <w:p w:rsidR="00DA5287" w:rsidRPr="00120A7A" w:rsidRDefault="00DA5287" w:rsidP="00DA5287">
      <w:pPr>
        <w:numPr>
          <w:ilvl w:val="0"/>
          <w:numId w:val="16"/>
        </w:numPr>
        <w:spacing w:after="120"/>
        <w:jc w:val="both"/>
        <w:rPr>
          <w:lang w:eastAsia="sk-SK"/>
        </w:rPr>
      </w:pPr>
      <w:r w:rsidRPr="00120A7A">
        <w:rPr>
          <w:lang w:eastAsia="sk-SK"/>
        </w:rPr>
        <w:t xml:space="preserve">Archívne zálohy a kritické dáta certifikačného orgánu potrebné na núdzovú obnovu musia byť uchovávané v </w:t>
      </w:r>
      <w:proofErr w:type="spellStart"/>
      <w:r w:rsidRPr="00120A7A">
        <w:rPr>
          <w:lang w:eastAsia="sk-SK"/>
        </w:rPr>
        <w:t>off</w:t>
      </w:r>
      <w:proofErr w:type="spellEnd"/>
      <w:r w:rsidRPr="00120A7A">
        <w:rPr>
          <w:lang w:eastAsia="sk-SK"/>
        </w:rPr>
        <w:t>-site zabezpečenej lokalite.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Organizačné opatrenia</w:t>
      </w:r>
    </w:p>
    <w:p w:rsidR="00DA5287" w:rsidRPr="00120A7A" w:rsidRDefault="00DA5287" w:rsidP="00DA5287">
      <w:pPr>
        <w:numPr>
          <w:ilvl w:val="0"/>
          <w:numId w:val="16"/>
        </w:numPr>
        <w:spacing w:before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Predpokladom na zaistenie minimálnej úrovne ochrany informačných aktív v systéme digitálneho tachografu je </w:t>
      </w:r>
      <w:r w:rsidRPr="00120A7A">
        <w:rPr>
          <w:b/>
          <w:bCs/>
          <w:u w:val="single"/>
          <w:lang w:eastAsia="sk-SK"/>
        </w:rPr>
        <w:t>zavedenie certifikovaného systému riadenia informačnej bezpečnosti podľa ISO 27001.</w:t>
      </w:r>
      <w:r w:rsidRPr="00120A7A">
        <w:rPr>
          <w:lang w:eastAsia="sk-SK"/>
        </w:rPr>
        <w:t xml:space="preserve"> Povinnosť zavedenia certifikovaného systému riadenia informačnej bezpečnosti pre Certifikačný orgán členského štátu a organizáciu personalizácie čipových kariet vyplýva priamo z Politiky národného certifikačného orgánu Slovenskej republiky.</w:t>
      </w:r>
    </w:p>
    <w:p w:rsidR="00DA5287" w:rsidRPr="00120A7A" w:rsidRDefault="00DA5287" w:rsidP="00DA5287">
      <w:pPr>
        <w:numPr>
          <w:ilvl w:val="0"/>
          <w:numId w:val="16"/>
        </w:numPr>
        <w:spacing w:before="120"/>
        <w:jc w:val="both"/>
        <w:rPr>
          <w:b/>
          <w:bCs/>
          <w:u w:val="single"/>
          <w:lang w:eastAsia="sk-SK"/>
        </w:rPr>
      </w:pPr>
      <w:r w:rsidRPr="00120A7A">
        <w:rPr>
          <w:lang w:eastAsia="sk-SK"/>
        </w:rPr>
        <w:t xml:space="preserve">oprávnená osoba poverená objednávateľom vydávaním čipových kariet podľa § 10 ods. 3 písm. a) zákona č. 461/2007 Z. z. </w:t>
      </w:r>
      <w:r w:rsidRPr="00120A7A">
        <w:rPr>
          <w:b/>
          <w:bCs/>
          <w:u w:val="single"/>
          <w:lang w:eastAsia="sk-SK"/>
        </w:rPr>
        <w:t>musí byť držiteľom bezpečnostnej previerky na</w:t>
      </w:r>
      <w:r>
        <w:rPr>
          <w:b/>
          <w:bCs/>
          <w:u w:val="single"/>
          <w:lang w:eastAsia="sk-SK"/>
        </w:rPr>
        <w:t> </w:t>
      </w:r>
      <w:r w:rsidRPr="00120A7A">
        <w:rPr>
          <w:b/>
          <w:bCs/>
          <w:u w:val="single"/>
          <w:lang w:eastAsia="sk-SK"/>
        </w:rPr>
        <w:t>stupeň D.</w:t>
      </w:r>
    </w:p>
    <w:p w:rsidR="00DA5287" w:rsidRPr="00120A7A" w:rsidRDefault="00DA5287" w:rsidP="00DA5287">
      <w:pPr>
        <w:numPr>
          <w:ilvl w:val="0"/>
          <w:numId w:val="16"/>
        </w:numPr>
        <w:spacing w:before="120"/>
        <w:jc w:val="both"/>
        <w:rPr>
          <w:lang w:eastAsia="sk-SK"/>
        </w:rPr>
      </w:pPr>
      <w:r w:rsidRPr="00120A7A">
        <w:rPr>
          <w:lang w:eastAsia="sk-SK"/>
        </w:rPr>
        <w:t xml:space="preserve">Certifikačný orgán a </w:t>
      </w:r>
      <w:proofErr w:type="spellStart"/>
      <w:r w:rsidRPr="00120A7A">
        <w:rPr>
          <w:lang w:eastAsia="sk-SK"/>
        </w:rPr>
        <w:t>personalizér</w:t>
      </w:r>
      <w:proofErr w:type="spellEnd"/>
      <w:r w:rsidRPr="00120A7A">
        <w:rPr>
          <w:lang w:eastAsia="sk-SK"/>
        </w:rPr>
        <w:t xml:space="preserve"> čipových kariet vykonávajú procesné kontroly, aby zabezpečili bezpečnú prevádzku. Predovšetkým nezlučiteľnosť funkcií sa bude presadzovať najmä vykonávaním kontroly štyroch očí pre kritické úlohy.</w:t>
      </w:r>
    </w:p>
    <w:p w:rsidR="00DA5287" w:rsidRPr="00120A7A" w:rsidRDefault="00DA5287" w:rsidP="00DA5287">
      <w:pPr>
        <w:numPr>
          <w:ilvl w:val="0"/>
          <w:numId w:val="16"/>
        </w:numPr>
        <w:spacing w:before="120"/>
        <w:jc w:val="both"/>
        <w:rPr>
          <w:lang w:eastAsia="sk-SK"/>
        </w:rPr>
      </w:pPr>
      <w:r w:rsidRPr="00120A7A">
        <w:rPr>
          <w:lang w:eastAsia="sk-SK"/>
        </w:rPr>
        <w:t xml:space="preserve">Prístup do systémov certifikačného orgánu a príslušných systémov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musí byť obmedzený len na oprávnené osoby v zmysle pravidla </w:t>
      </w:r>
      <w:proofErr w:type="spellStart"/>
      <w:r w:rsidRPr="00120A7A">
        <w:rPr>
          <w:lang w:eastAsia="sk-SK"/>
        </w:rPr>
        <w:t>need</w:t>
      </w:r>
      <w:proofErr w:type="spellEnd"/>
      <w:r w:rsidRPr="00120A7A">
        <w:rPr>
          <w:lang w:eastAsia="sk-SK"/>
        </w:rPr>
        <w:t>-to-</w:t>
      </w:r>
      <w:proofErr w:type="spellStart"/>
      <w:r w:rsidRPr="00120A7A">
        <w:rPr>
          <w:lang w:eastAsia="sk-SK"/>
        </w:rPr>
        <w:t>know</w:t>
      </w:r>
      <w:proofErr w:type="spellEnd"/>
      <w:r w:rsidRPr="00120A7A">
        <w:rPr>
          <w:lang w:eastAsia="sk-SK"/>
        </w:rPr>
        <w:t>. Na kontrolu prístupu sa zavedú nasledovné opatrenia: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dôverné údaje musia byť chránené, aby sa pri ich uchovávaní zabezpečila integrita a dôvernosť údajov;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dôverné údaje musia byť chránené, aby sa zabezpečila integrita a dôvernosť údajov pri výmene prostredníctvom nezabezpečených sietí;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>likvidácia dôverných údajov musí byť realizovaná spôsobom</w:t>
      </w:r>
      <w:r>
        <w:rPr>
          <w:lang w:eastAsia="sk-SK"/>
        </w:rPr>
        <w:t xml:space="preserve">, </w:t>
      </w:r>
      <w:r w:rsidRPr="00120A7A">
        <w:rPr>
          <w:lang w:eastAsia="sk-SK"/>
        </w:rPr>
        <w:t>ktorý zaručí</w:t>
      </w:r>
      <w:r>
        <w:rPr>
          <w:lang w:eastAsia="sk-SK"/>
        </w:rPr>
        <w:t>,</w:t>
      </w:r>
      <w:r w:rsidRPr="00120A7A">
        <w:rPr>
          <w:lang w:eastAsia="sk-SK"/>
        </w:rPr>
        <w:t xml:space="preserve"> aby sa nedali spätne reprodukovať, napr. viacnásobným prepísaním náhodných údajov s použitím bezpečnej metódy;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systémy certifikačného orgánu a súvisiace systémy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musia zabezpečiť efektívnu správu užívateľov a riadenie prístupu;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systémy certifikačného orgánu a súvisiace systémy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musia zabezpečiť, aby bol prístup k informáciám a funkciám aplikačného systému obmedzený na oprávnených zamestnancov a aby boli zabezpečené dostatočné počítačové bezpečnostné kontroly zamerané na oddelenie nezlučiteľných funkcií. Obzvlášť potrebné je obmedziť a prísne kontrolovať používanie systémových programov. Prístup musí byť obmedzený na prístup k zdrojom, ktoré sú nevyhnutné na plnenie úlohy (úloh) pridelenej prijímateľovi;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personál certifikačného orgánu a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musí mať overenú spôsobilosť pred použitím systémov certifikačného orgánu alebo zodpovedajúcich systémov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kariet;</w:t>
      </w:r>
    </w:p>
    <w:p w:rsidR="00DA5287" w:rsidRPr="00120A7A" w:rsidRDefault="00DA5287" w:rsidP="00DA5287">
      <w:pPr>
        <w:numPr>
          <w:ilvl w:val="1"/>
          <w:numId w:val="16"/>
        </w:numPr>
        <w:spacing w:before="120" w:line="259" w:lineRule="auto"/>
        <w:jc w:val="both"/>
        <w:rPr>
          <w:lang w:eastAsia="sk-SK"/>
        </w:rPr>
      </w:pPr>
      <w:r w:rsidRPr="00120A7A">
        <w:rPr>
          <w:lang w:eastAsia="sk-SK"/>
        </w:rPr>
        <w:t xml:space="preserve">personál certifikačného orgánu a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čipových kariet je zodpovedný za</w:t>
      </w:r>
      <w:r>
        <w:rPr>
          <w:lang w:eastAsia="sk-SK"/>
        </w:rPr>
        <w:t> </w:t>
      </w:r>
      <w:r w:rsidRPr="00120A7A">
        <w:rPr>
          <w:lang w:eastAsia="sk-SK"/>
        </w:rPr>
        <w:t>svoju činnosť, ktorá sa zaznamenáva do auditných log súborov.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lastRenderedPageBreak/>
        <w:t>Manažment riadenia auditných log záznamov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Všetky významné bezpečnostné udalosti v systéme certifikačného orgánu alebo súvisiacom systéme </w:t>
      </w:r>
      <w:proofErr w:type="spellStart"/>
      <w:r w:rsidRPr="00120A7A">
        <w:rPr>
          <w:rFonts w:eastAsia="Calibri"/>
          <w:szCs w:val="22"/>
          <w:lang w:eastAsia="en-US"/>
        </w:rPr>
        <w:t>personalizéra</w:t>
      </w:r>
      <w:proofErr w:type="spellEnd"/>
      <w:r w:rsidRPr="00120A7A">
        <w:rPr>
          <w:rFonts w:eastAsia="Calibri"/>
          <w:szCs w:val="22"/>
          <w:lang w:eastAsia="en-US"/>
        </w:rPr>
        <w:t xml:space="preserve"> čipových kariet musia byť zabezpečené časovou pečiatkou a zaznamenávané do súborov systémového denníka. Zahŕňa to minimálne nasledovné záznamy: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vytvoriť, aktualizovať, odstrániť alebo získať stavové informácie o prístupoch zamestnancov alebo zmenách a rušení práv účtu;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nastaviť alebo zmeniť proces overovania (napr. heslo, biometrické údaje, kryptografický certifikát) priradené k osobnému účtu;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prihlásenie a odhlásenie účtu;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zmenu konfigurácie systému;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spustenie a zastavenie softvéru;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aktualizácia systému;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proofErr w:type="spellStart"/>
      <w:r w:rsidRPr="00120A7A">
        <w:rPr>
          <w:lang w:eastAsia="sk-SK"/>
        </w:rPr>
        <w:t>start-up</w:t>
      </w:r>
      <w:proofErr w:type="spellEnd"/>
      <w:r w:rsidRPr="00120A7A">
        <w:rPr>
          <w:lang w:eastAsia="sk-SK"/>
        </w:rPr>
        <w:t xml:space="preserve"> a </w:t>
      </w:r>
      <w:proofErr w:type="spellStart"/>
      <w:r w:rsidRPr="00120A7A">
        <w:rPr>
          <w:lang w:eastAsia="sk-SK"/>
        </w:rPr>
        <w:t>shut-down</w:t>
      </w:r>
      <w:proofErr w:type="spellEnd"/>
      <w:r w:rsidRPr="00120A7A">
        <w:rPr>
          <w:lang w:eastAsia="sk-SK"/>
        </w:rPr>
        <w:t xml:space="preserve"> systému;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pridanie alebo odobratie subjektov z registra účastníkov, ktorému certifikačný orgán v súčasnosti poskytuje kľúčové certifikačné služby, alebo o zmenu akýchkoľvek podrobností pre niektorého zo účastníkov alebo na získanie informácií z registra;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spracovanie žiadosti o podpísanie certifikátu alebo žiadosti o distribúciu kľúča;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podpísať certifikát alebo vygenerovať správu o distribúcii kľúčov;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interakcie s databázami obsahujúcimi údaje o (vydaných) certifikátoch, vrátane pokusov o pripojenie, čítanie, zápis, aktualizáciu alebo odstránenie;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pripojenie alebo odpojenie od HSM;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overenie prijímateľa na HSM;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generovať alebo zničiť pár kľúčov alebo symetrický kľúč v HSM;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o import alebo export kľúča do alebo z HSM;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zmeniť stav životného cyklu akéhokoľvek páru kľúčov alebo symetrického kľúča;</w:t>
      </w:r>
    </w:p>
    <w:p w:rsidR="00DA5287" w:rsidRPr="00120A7A" w:rsidRDefault="00DA5287" w:rsidP="00DA5287">
      <w:pPr>
        <w:numPr>
          <w:ilvl w:val="0"/>
          <w:numId w:val="21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úspešné a neúspešné pokusy použiť súkromný kľúč alebo symetrický kľúč v HSM na</w:t>
      </w:r>
      <w:r>
        <w:rPr>
          <w:lang w:eastAsia="sk-SK"/>
        </w:rPr>
        <w:t> </w:t>
      </w:r>
      <w:r w:rsidRPr="00120A7A">
        <w:rPr>
          <w:lang w:eastAsia="sk-SK"/>
        </w:rPr>
        <w:t>akýkoľvek účel.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Vyššie uvedené udalosti sa pravidelne kontrolujú z hľadiska integrity. Tieto inšpekcie sa vykonávajú aspoň raz ročne.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Aby bolo možné vyšetrovať bezpečnostné incidenty, systémový log záznam musí podľa možnosti obsahovať informácie umožňujúce identifikáciu osoby alebo účtu, ktoré vykonávali systémové úlohy.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lastRenderedPageBreak/>
        <w:t>Integrita auditných záznamov systémových udalostí musí byť zachovaná a musí byť chránená pred neoprávnenou kontrolou, úpravou, vymazaním alebo zničením. Auditné záznamy systémových udalostí musia byť interne uchovávané a zálohované.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Archivovanie záznamov</w:t>
      </w:r>
    </w:p>
    <w:p w:rsidR="00DA5287" w:rsidRPr="00120A7A" w:rsidRDefault="00DA5287" w:rsidP="00DA5287">
      <w:pPr>
        <w:numPr>
          <w:ilvl w:val="0"/>
          <w:numId w:val="25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Rozsah udalostí, ktoré sa archivujú, musí byť v súlade s príslušnými pravidlami a právnymi predpismi upravený internou riadiacou dokumentáciou. Certifikačný orgán a </w:t>
      </w:r>
      <w:proofErr w:type="spellStart"/>
      <w:r w:rsidRPr="00120A7A">
        <w:rPr>
          <w:lang w:eastAsia="sk-SK"/>
        </w:rPr>
        <w:t>personalizér</w:t>
      </w:r>
      <w:proofErr w:type="spellEnd"/>
      <w:r w:rsidRPr="00120A7A">
        <w:rPr>
          <w:lang w:eastAsia="sk-SK"/>
        </w:rPr>
        <w:t xml:space="preserve"> kariet príjmu vhodné postupy archivácie záznamov. Musia byť zavedené postupy na zabezpečenie integrity, pravosti a dôvernosti záznamov.</w:t>
      </w:r>
    </w:p>
    <w:p w:rsidR="00DA5287" w:rsidRPr="00120A7A" w:rsidRDefault="00DA5287" w:rsidP="00DA5287">
      <w:pPr>
        <w:numPr>
          <w:ilvl w:val="0"/>
          <w:numId w:val="25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Musia sa prijať opatrenia na zabezpečenie archívnych záznamov tak, aby bola strata primerane vylúčená.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Zmena kľúča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nové páry kľúčov certifikačného orgánu sú generované podľa potreby. Po vygenerovaní nového kľúčového páru, musí certifikačný orgán predložiť žiadosť o opätovný kľúč certifikátu, ako je upravené v príslušnej časti politiky ERCA, a distribuovať kľúče </w:t>
      </w:r>
      <w:proofErr w:type="spellStart"/>
      <w:r w:rsidRPr="00120A7A">
        <w:rPr>
          <w:lang w:eastAsia="sk-SK"/>
        </w:rPr>
        <w:t>personalizátorovi</w:t>
      </w:r>
      <w:proofErr w:type="spellEnd"/>
      <w:r w:rsidRPr="00120A7A">
        <w:rPr>
          <w:lang w:eastAsia="sk-SK"/>
        </w:rPr>
        <w:t xml:space="preserve"> komponentov, ako je upravené v národnej politike certifikačného orgánu.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certifikačný orgán zabezpečí, aby boli náhradné kľúče generované kontrolovaným procesom a v súlade s postupmi definovanými v tejto certifikačnej politike.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Prezradenie a plán obnovy</w:t>
      </w:r>
    </w:p>
    <w:p w:rsidR="00DA5287" w:rsidRPr="00120A7A" w:rsidRDefault="00DA5287" w:rsidP="00DA5287">
      <w:pPr>
        <w:keepNext/>
        <w:keepLines/>
        <w:numPr>
          <w:ilvl w:val="3"/>
          <w:numId w:val="18"/>
        </w:numPr>
        <w:spacing w:before="120" w:after="120"/>
        <w:ind w:left="862" w:hanging="862"/>
        <w:jc w:val="both"/>
        <w:outlineLvl w:val="3"/>
        <w:rPr>
          <w:b/>
          <w:bCs/>
          <w:szCs w:val="28"/>
          <w:lang w:eastAsia="sk-SK"/>
        </w:rPr>
      </w:pPr>
      <w:r w:rsidRPr="00120A7A">
        <w:rPr>
          <w:b/>
          <w:bCs/>
          <w:szCs w:val="28"/>
          <w:lang w:eastAsia="sk-SK"/>
        </w:rPr>
        <w:t xml:space="preserve">Identifikácia BUSINESS procesov 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Poskytovateľ IS Digitálny tachograf ako držiteľ certifikátu ISO 27001 musí zabezpečiť vypracovanie </w:t>
      </w:r>
      <w:proofErr w:type="spellStart"/>
      <w:r w:rsidRPr="00120A7A">
        <w:rPr>
          <w:rFonts w:eastAsia="Calibri"/>
          <w:szCs w:val="22"/>
          <w:lang w:eastAsia="en-US"/>
        </w:rPr>
        <w:t>Data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recovery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plan</w:t>
      </w:r>
      <w:proofErr w:type="spellEnd"/>
      <w:r w:rsidRPr="00120A7A">
        <w:rPr>
          <w:rFonts w:eastAsia="Calibri"/>
          <w:szCs w:val="22"/>
          <w:lang w:eastAsia="en-US"/>
        </w:rPr>
        <w:t xml:space="preserve"> / Plánu obnovy (ďalej len „DRP“), ktorý vyplynie z analýzy dop</w:t>
      </w:r>
      <w:r>
        <w:rPr>
          <w:rFonts w:eastAsia="Calibri"/>
          <w:szCs w:val="22"/>
          <w:lang w:eastAsia="en-US"/>
        </w:rPr>
        <w:t xml:space="preserve">adov / Business </w:t>
      </w:r>
      <w:proofErr w:type="spellStart"/>
      <w:r>
        <w:rPr>
          <w:rFonts w:eastAsia="Calibri"/>
          <w:szCs w:val="22"/>
          <w:lang w:eastAsia="en-US"/>
        </w:rPr>
        <w:t>impact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analysis</w:t>
      </w:r>
      <w:proofErr w:type="spellEnd"/>
      <w:r>
        <w:rPr>
          <w:rFonts w:eastAsia="Calibri"/>
          <w:szCs w:val="22"/>
          <w:lang w:eastAsia="en-US"/>
        </w:rPr>
        <w:t>.</w:t>
      </w:r>
      <w:r w:rsidRPr="00120A7A">
        <w:rPr>
          <w:rFonts w:eastAsia="Calibri"/>
          <w:szCs w:val="22"/>
          <w:lang w:eastAsia="en-US"/>
        </w:rPr>
        <w:t xml:space="preserve"> 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V rámci analýzy dopadov musí byť pokryté: 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zoznam aktív nevyhnutný na zabezpečenie kontinuity procesov (bezproblémové a nepretržité vykonávanie procesov), 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informácií o maximálne tolerovateľnej nedostupnosti procesov (maximálne prípustná doba nevykonávania činností),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závislosti procesu (právne, regulačné, zmluvné, časové špičky a pod.),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možné dopady v prípade úplného prerušenia vykonávania činností (finančný dopad, organizačné problémy, porušenie právnych predpisov, narušenie bezpečnosti, poškodenie dobrého mena a pod.),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možnosti alternatívneho vykonávania procesu.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Výstupom analýzy dopadov je dokument obsahujúci nasledovné informácie: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kritických procesov IS Digitálny tachograf a ich rozdelenie vzhľadom na prioritu obnovy (na základe identifikovaných maximálne tolerovateľných dôb nedostupnosti),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stanovenie lehoty (doby) obnovy kritických procesov na základe zistených maximálne tolerovateľných dôb nedostupnosti,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lastRenderedPageBreak/>
        <w:t>stanovenie akceptovateľnej straty údajov - podklad pre definovanie požiadaviek na</w:t>
      </w:r>
      <w:r>
        <w:rPr>
          <w:lang w:eastAsia="sk-SK"/>
        </w:rPr>
        <w:t xml:space="preserve"> </w:t>
      </w:r>
      <w:r w:rsidRPr="00120A7A">
        <w:rPr>
          <w:lang w:eastAsia="sk-SK"/>
        </w:rPr>
        <w:t>zálohovanie údajov,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dopadov,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závislostí a vzťahov ku kritickým procesom,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aktív nevyhnutných na zabezpečenie kontinuity kritických procesov,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zoznam tretích strán so vzťahom ku kritickým procesom.</w:t>
      </w:r>
    </w:p>
    <w:p w:rsidR="00DA5287" w:rsidRPr="00120A7A" w:rsidRDefault="00DA5287" w:rsidP="00DA5287">
      <w:pPr>
        <w:keepNext/>
        <w:keepLines/>
        <w:numPr>
          <w:ilvl w:val="3"/>
          <w:numId w:val="18"/>
        </w:numPr>
        <w:spacing w:before="120" w:after="120"/>
        <w:ind w:left="862" w:hanging="862"/>
        <w:jc w:val="both"/>
        <w:outlineLvl w:val="3"/>
        <w:rPr>
          <w:b/>
          <w:bCs/>
          <w:szCs w:val="28"/>
          <w:lang w:eastAsia="sk-SK"/>
        </w:rPr>
      </w:pPr>
      <w:r w:rsidRPr="00120A7A">
        <w:rPr>
          <w:b/>
          <w:bCs/>
          <w:szCs w:val="28"/>
          <w:lang w:eastAsia="sk-SK"/>
        </w:rPr>
        <w:t>Stratégia DRP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Stratégia DRP priamo nadväzuje na výstupy analýzy dopadov. Stratégia DRP musí určovať jednoznačnú politiku, rámec riadenie obnovy kritických IS. Pri návrhu stratégie DRP musia byť do úvahy najmä nasledovné skutočnosti: 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výber alternatívnych metód, ktoré budú použité v prípade narušenia alebo mimoriadnej udalosti s dopadom na IS, v súlade s prioritou stanovenou počas analýzy dopadov,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zraniteľnosti a kritické prvky zlyhania (single </w:t>
      </w:r>
      <w:proofErr w:type="spellStart"/>
      <w:r w:rsidRPr="00120A7A">
        <w:rPr>
          <w:lang w:eastAsia="sk-SK"/>
        </w:rPr>
        <w:t>points</w:t>
      </w:r>
      <w:proofErr w:type="spellEnd"/>
      <w:r w:rsidRPr="00120A7A">
        <w:rPr>
          <w:lang w:eastAsia="sk-SK"/>
        </w:rPr>
        <w:t xml:space="preserve"> of </w:t>
      </w:r>
      <w:proofErr w:type="spellStart"/>
      <w:r w:rsidRPr="00120A7A">
        <w:rPr>
          <w:lang w:eastAsia="sk-SK"/>
        </w:rPr>
        <w:t>failure</w:t>
      </w:r>
      <w:proofErr w:type="spellEnd"/>
      <w:r w:rsidRPr="00120A7A">
        <w:rPr>
          <w:lang w:eastAsia="sk-SK"/>
        </w:rPr>
        <w:t>), ktoré boli identifikované počas analýzy dopadov.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>Stratégia DRP musí byť rozpracovaná najmä v nasledujúcich oblastiach: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technológie,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objekty a priestory,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ľudské zdroje,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informácie,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spotrebný materiál a podporné služby,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dodávatelia a zainteresované strany.</w:t>
      </w:r>
    </w:p>
    <w:p w:rsidR="00DA5287" w:rsidRPr="00120A7A" w:rsidRDefault="00DA5287" w:rsidP="00DA5287">
      <w:pPr>
        <w:keepNext/>
        <w:keepLines/>
        <w:numPr>
          <w:ilvl w:val="3"/>
          <w:numId w:val="18"/>
        </w:numPr>
        <w:spacing w:before="120" w:after="120"/>
        <w:ind w:left="862" w:hanging="862"/>
        <w:jc w:val="both"/>
        <w:outlineLvl w:val="3"/>
        <w:rPr>
          <w:b/>
          <w:bCs/>
          <w:szCs w:val="28"/>
          <w:lang w:eastAsia="sk-SK"/>
        </w:rPr>
      </w:pPr>
      <w:r w:rsidRPr="00120A7A">
        <w:rPr>
          <w:b/>
          <w:bCs/>
          <w:szCs w:val="28"/>
          <w:lang w:eastAsia="sk-SK"/>
        </w:rPr>
        <w:t>Vypracované plány obnovy (DRP)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 rámci zabezpečenia plánov obnovy (DRP) musia byť dokumentované jednotlivé kroky obnovy a ďalšie potrebné informácie pre obnovu s ohľadom na proces riadenia bezpečnostných incidentov.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Postupy obnovy kritických IS musia zahŕňať: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okamžitú reakciu na mimoriadnu udalosť,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postupnosť krokov zabezpečujúcich obnovu kritických IS,</w:t>
      </w:r>
    </w:p>
    <w:p w:rsidR="00DA5287" w:rsidRPr="00120A7A" w:rsidRDefault="00DA5287" w:rsidP="00DA5287">
      <w:pPr>
        <w:jc w:val="both"/>
        <w:rPr>
          <w:rFonts w:eastAsia="Calibri"/>
          <w:lang w:eastAsia="en-US"/>
        </w:rPr>
      </w:pPr>
      <w:r w:rsidRPr="00120A7A">
        <w:rPr>
          <w:rFonts w:eastAsia="Calibri"/>
          <w:lang w:eastAsia="en-US"/>
        </w:rPr>
        <w:t xml:space="preserve">Cieľom okamžitej reakcie je najmä: 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vyhodnotenie vzniknutej situácie,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zaistenie bezpečnosti a ochrany osôb a majetku,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aktivácia postupov na zvládnutie situácie,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spôsob informovania zainteresovaných strán (média, dodávatelia, verejnosť a pod.).</w:t>
      </w:r>
    </w:p>
    <w:p w:rsidR="00DA5287" w:rsidRPr="00120A7A" w:rsidRDefault="00DA5287" w:rsidP="00DA5287">
      <w:pPr>
        <w:spacing w:before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Cieľom obnovy IS je nevyhnutné poskytnúť základný rámec a postupy, pomocou ktorých je možné obnoviť kritické IS v požadovanom čase. </w:t>
      </w:r>
    </w:p>
    <w:p w:rsidR="00DA5287" w:rsidRPr="00120A7A" w:rsidRDefault="00DA5287" w:rsidP="00DA5287">
      <w:pPr>
        <w:spacing w:before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DRP musia zohľadňovať minimálne nasledovné: 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 xml:space="preserve">osoby, tretie strany a pod., na ktoré môže mať mimoriadna udalosť dopad alebo ktoré je nevyhnutné informovať o vzniknutej situácii, 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lastRenderedPageBreak/>
        <w:t>spôsob komunikácie s dotknutými osobami, ktoré sú zainteresované na obnove kritických IS alebo na ktoré mohla mať mimoriadna udalosť dopad,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určenie osoby zodpovednej za komunikáciu s verejnosťou / médiami a pod.,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zdroje nevyhnutné na zaistenie obnovy kritických IS (kvalitatívne aj kvantitatívne):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ľudské zdroje (bezpečnosť, spôsob transportu, a pod.),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objekty a priestory a ich vybavenie,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technológie,</w:t>
      </w:r>
    </w:p>
    <w:p w:rsidR="00DA5287" w:rsidRPr="00120A7A" w:rsidRDefault="00DA5287" w:rsidP="00DA5287">
      <w:pPr>
        <w:numPr>
          <w:ilvl w:val="0"/>
          <w:numId w:val="22"/>
        </w:numPr>
        <w:spacing w:before="120"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dodávatelia, zainteresované strany a spôsob komunikácie s nimi.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Opatrenia sieťovej bezpečnosti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SK-CA a </w:t>
      </w:r>
      <w:proofErr w:type="spellStart"/>
      <w:r w:rsidRPr="00120A7A">
        <w:rPr>
          <w:rFonts w:eastAsia="Calibri"/>
          <w:szCs w:val="22"/>
          <w:lang w:eastAsia="en-US"/>
        </w:rPr>
        <w:t>personalizér</w:t>
      </w:r>
      <w:proofErr w:type="spellEnd"/>
      <w:r w:rsidRPr="00120A7A">
        <w:rPr>
          <w:rFonts w:eastAsia="Calibri"/>
          <w:szCs w:val="22"/>
          <w:lang w:eastAsia="en-US"/>
        </w:rPr>
        <w:t xml:space="preserve"> čipovej karty musia navrhnúť a implementovať svoju sieťovú architektúru takým spôsobom, aby bolo možné efektívne kontrolovať prístup z internetu do internej sieťovej domény a z internej sieťovej domény, do systémov certifikačného orgánu a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 xml:space="preserve">súvisiacich systémov </w:t>
      </w:r>
      <w:proofErr w:type="spellStart"/>
      <w:r w:rsidRPr="00120A7A">
        <w:rPr>
          <w:rFonts w:eastAsia="Calibri"/>
          <w:szCs w:val="22"/>
          <w:lang w:eastAsia="en-US"/>
        </w:rPr>
        <w:t>personalizéra</w:t>
      </w:r>
      <w:proofErr w:type="spellEnd"/>
      <w:r w:rsidRPr="00120A7A">
        <w:rPr>
          <w:rFonts w:eastAsia="Calibri"/>
          <w:szCs w:val="22"/>
          <w:lang w:eastAsia="en-US"/>
        </w:rPr>
        <w:t xml:space="preserve"> čipových kariet.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proofErr w:type="spellStart"/>
      <w:r w:rsidRPr="00120A7A">
        <w:rPr>
          <w:b/>
          <w:bCs/>
          <w:i/>
          <w:iCs/>
          <w:sz w:val="28"/>
          <w:szCs w:val="28"/>
          <w:lang w:eastAsia="sk-SK"/>
        </w:rPr>
        <w:t>Time-Stamping</w:t>
      </w:r>
      <w:proofErr w:type="spellEnd"/>
    </w:p>
    <w:p w:rsidR="00DA5287" w:rsidRPr="00120A7A" w:rsidRDefault="00DA5287" w:rsidP="00DA5287">
      <w:pPr>
        <w:jc w:val="both"/>
        <w:rPr>
          <w:szCs w:val="22"/>
          <w:u w:val="single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Čas a dátum udalosti sa zahrnie do každého auditného záznamu. SK-CA PS a súvisiaca dokumentácia / CPS </w:t>
      </w:r>
      <w:proofErr w:type="spellStart"/>
      <w:r w:rsidRPr="00120A7A">
        <w:rPr>
          <w:rFonts w:eastAsia="Calibri"/>
          <w:szCs w:val="22"/>
          <w:lang w:eastAsia="en-US"/>
        </w:rPr>
        <w:t>personalizátorov</w:t>
      </w:r>
      <w:proofErr w:type="spellEnd"/>
      <w:r w:rsidRPr="00120A7A">
        <w:rPr>
          <w:rFonts w:eastAsia="Calibri"/>
          <w:szCs w:val="22"/>
          <w:lang w:eastAsia="en-US"/>
        </w:rPr>
        <w:t xml:space="preserve"> čipových kariet upravujú, ako je čas synchronizovaný a overený</w:t>
      </w:r>
      <w:r w:rsidRPr="00120A7A">
        <w:rPr>
          <w:szCs w:val="22"/>
          <w:lang w:eastAsia="en-US"/>
        </w:rPr>
        <w:t>.</w:t>
      </w:r>
    </w:p>
    <w:p w:rsidR="00DA5287" w:rsidRPr="00120A7A" w:rsidRDefault="00DA5287" w:rsidP="00DA5287">
      <w:pPr>
        <w:jc w:val="both"/>
        <w:rPr>
          <w:szCs w:val="22"/>
          <w:u w:val="single"/>
          <w:lang w:eastAsia="en-US"/>
        </w:rPr>
      </w:pPr>
    </w:p>
    <w:p w:rsidR="00DA5287" w:rsidRPr="00120A7A" w:rsidRDefault="00DA5287" w:rsidP="00DA5287">
      <w:pPr>
        <w:spacing w:after="160" w:line="259" w:lineRule="auto"/>
        <w:jc w:val="both"/>
        <w:rPr>
          <w:szCs w:val="22"/>
          <w:u w:val="single"/>
          <w:lang w:eastAsia="en-US"/>
        </w:rPr>
      </w:pPr>
      <w:r w:rsidRPr="00120A7A">
        <w:rPr>
          <w:szCs w:val="22"/>
          <w:u w:val="single"/>
          <w:lang w:eastAsia="en-US"/>
        </w:rPr>
        <w:br w:type="page"/>
      </w:r>
    </w:p>
    <w:p w:rsidR="00DA5287" w:rsidRPr="00120A7A" w:rsidRDefault="00DA5287" w:rsidP="00DA5287">
      <w:pPr>
        <w:keepNext/>
        <w:keepLines/>
        <w:numPr>
          <w:ilvl w:val="0"/>
          <w:numId w:val="18"/>
        </w:numPr>
        <w:spacing w:before="240" w:after="360"/>
        <w:ind w:left="431" w:hanging="431"/>
        <w:jc w:val="both"/>
        <w:outlineLvl w:val="0"/>
        <w:rPr>
          <w:b/>
          <w:color w:val="000000"/>
          <w:sz w:val="32"/>
          <w:szCs w:val="32"/>
          <w:lang w:eastAsia="en-US"/>
        </w:rPr>
      </w:pPr>
      <w:bookmarkStart w:id="15" w:name="_Ref36800381"/>
      <w:r w:rsidRPr="00120A7A">
        <w:rPr>
          <w:b/>
          <w:color w:val="000000"/>
          <w:sz w:val="32"/>
          <w:szCs w:val="32"/>
          <w:lang w:eastAsia="en-US"/>
        </w:rPr>
        <w:lastRenderedPageBreak/>
        <w:t>Legislatívne východiská</w:t>
      </w:r>
      <w:bookmarkEnd w:id="15"/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Nový poskytovateľ systému IS DT musí prevziať všetky role súčasne zapojených subjektov poskytovateľa IS DT, ktorými sú najmä: </w:t>
      </w:r>
    </w:p>
    <w:p w:rsidR="00DA5287" w:rsidRPr="00120A7A" w:rsidRDefault="00DA5287" w:rsidP="00DA5287">
      <w:pPr>
        <w:numPr>
          <w:ilvl w:val="0"/>
          <w:numId w:val="2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b/>
          <w:lang w:eastAsia="sk-SK"/>
        </w:rPr>
        <w:t>SK-CA</w:t>
      </w:r>
      <w:r w:rsidRPr="00120A7A">
        <w:rPr>
          <w:lang w:eastAsia="sk-SK"/>
        </w:rPr>
        <w:t xml:space="preserve"> Certifikačná autorita členského štátu (</w:t>
      </w:r>
      <w:proofErr w:type="spellStart"/>
      <w:r w:rsidRPr="00120A7A">
        <w:rPr>
          <w:lang w:eastAsia="sk-SK"/>
        </w:rPr>
        <w:t>Certification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Authority</w:t>
      </w:r>
      <w:proofErr w:type="spellEnd"/>
      <w:r w:rsidRPr="00120A7A">
        <w:rPr>
          <w:lang w:eastAsia="sk-SK"/>
        </w:rPr>
        <w:t>)</w:t>
      </w:r>
    </w:p>
    <w:p w:rsidR="00DA5287" w:rsidRPr="00120A7A" w:rsidRDefault="00DA5287" w:rsidP="00DA5287">
      <w:pPr>
        <w:numPr>
          <w:ilvl w:val="0"/>
          <w:numId w:val="2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b/>
          <w:lang w:eastAsia="sk-SK"/>
        </w:rPr>
        <w:t>SK-CIA</w:t>
      </w:r>
      <w:r w:rsidRPr="00120A7A">
        <w:rPr>
          <w:lang w:eastAsia="sk-SK"/>
        </w:rPr>
        <w:t xml:space="preserve"> Autorita vydávania kariet (</w:t>
      </w:r>
      <w:proofErr w:type="spellStart"/>
      <w:r w:rsidRPr="00120A7A">
        <w:rPr>
          <w:lang w:eastAsia="sk-SK"/>
        </w:rPr>
        <w:t>Card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Issuing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Authority</w:t>
      </w:r>
      <w:proofErr w:type="spellEnd"/>
      <w:r w:rsidRPr="00120A7A">
        <w:rPr>
          <w:lang w:eastAsia="sk-SK"/>
        </w:rPr>
        <w:t>)</w:t>
      </w:r>
    </w:p>
    <w:p w:rsidR="00DA5287" w:rsidRPr="00120A7A" w:rsidRDefault="00DA5287" w:rsidP="00DA5287">
      <w:pPr>
        <w:numPr>
          <w:ilvl w:val="0"/>
          <w:numId w:val="27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b/>
          <w:lang w:eastAsia="sk-SK"/>
        </w:rPr>
        <w:t>SK-CP</w:t>
      </w:r>
      <w:r w:rsidRPr="00120A7A">
        <w:rPr>
          <w:lang w:eastAsia="sk-SK"/>
        </w:rPr>
        <w:t xml:space="preserve"> Organizácia personalizácie kariet (</w:t>
      </w:r>
      <w:proofErr w:type="spellStart"/>
      <w:r w:rsidRPr="00120A7A">
        <w:rPr>
          <w:lang w:eastAsia="sk-SK"/>
        </w:rPr>
        <w:t>Card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personalization</w:t>
      </w:r>
      <w:proofErr w:type="spellEnd"/>
      <w:r w:rsidRPr="00120A7A">
        <w:rPr>
          <w:lang w:eastAsia="sk-SK"/>
        </w:rPr>
        <w:t xml:space="preserve"> </w:t>
      </w:r>
      <w:proofErr w:type="spellStart"/>
      <w:r w:rsidRPr="00120A7A">
        <w:rPr>
          <w:lang w:eastAsia="sk-SK"/>
        </w:rPr>
        <w:t>organization</w:t>
      </w:r>
      <w:proofErr w:type="spellEnd"/>
      <w:r w:rsidRPr="00120A7A">
        <w:rPr>
          <w:lang w:eastAsia="sk-SK"/>
        </w:rPr>
        <w:t>)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Zodpovednosti subjektov zapojených do IS DT v rámci rolí vyplývajúcich z  legislatívneho rámca sú uvedené nižšie.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Role a zodpovednosti zapojených subjektov poskytovateľa IS DT v súvislosti s legislatívnymi požiadavkami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SK-CA Certifikačná autorita členského štátu (</w:t>
      </w:r>
      <w:proofErr w:type="spellStart"/>
      <w:r w:rsidRPr="00120A7A">
        <w:rPr>
          <w:b/>
          <w:bCs/>
          <w:sz w:val="26"/>
          <w:szCs w:val="26"/>
          <w:lang w:eastAsia="sk-SK"/>
        </w:rPr>
        <w:t>Certification</w:t>
      </w:r>
      <w:proofErr w:type="spellEnd"/>
      <w:r w:rsidRPr="00120A7A">
        <w:rPr>
          <w:b/>
          <w:bCs/>
          <w:sz w:val="26"/>
          <w:szCs w:val="26"/>
          <w:lang w:eastAsia="sk-SK"/>
        </w:rPr>
        <w:t xml:space="preserve"> </w:t>
      </w:r>
      <w:proofErr w:type="spellStart"/>
      <w:r w:rsidRPr="00120A7A">
        <w:rPr>
          <w:b/>
          <w:bCs/>
          <w:sz w:val="26"/>
          <w:szCs w:val="26"/>
          <w:lang w:eastAsia="sk-SK"/>
        </w:rPr>
        <w:t>Authority</w:t>
      </w:r>
      <w:proofErr w:type="spellEnd"/>
      <w:r w:rsidRPr="00120A7A">
        <w:rPr>
          <w:b/>
          <w:bCs/>
          <w:sz w:val="26"/>
          <w:szCs w:val="26"/>
          <w:lang w:eastAsia="sk-SK"/>
        </w:rPr>
        <w:t>):</w:t>
      </w:r>
    </w:p>
    <w:p w:rsidR="00DA5287" w:rsidRPr="00120A7A" w:rsidRDefault="00DA5287" w:rsidP="00DA5287">
      <w:pPr>
        <w:numPr>
          <w:ilvl w:val="0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v oblasti svojej pôsobnosti vykonáva požiadavky nariadenie </w:t>
      </w:r>
      <w:r w:rsidRPr="00120A7A">
        <w:rPr>
          <w:rFonts w:eastAsia="Calibri"/>
          <w:color w:val="000000"/>
          <w:szCs w:val="22"/>
          <w:shd w:val="clear" w:color="auto" w:fill="FFFFFF"/>
          <w:lang w:eastAsia="en-US"/>
        </w:rPr>
        <w:t>Európskeho parlamentu a Rady</w:t>
      </w:r>
      <w:r w:rsidRPr="00120A7A">
        <w:rPr>
          <w:rFonts w:eastAsia="Calibri"/>
          <w:szCs w:val="22"/>
          <w:lang w:eastAsia="en-US"/>
        </w:rPr>
        <w:t xml:space="preserve"> (EÚ) č. 165/2014 a vykonávacieho nariadenia (EÚ) č. 799/2016, všetkých náležitých právnych predpisov, politiky Európskej Koreňovej Certifikačnej Autority(ERCA) a politiky národného certifikačného orgánu pre systém inteligentného tachografu,</w:t>
      </w:r>
    </w:p>
    <w:p w:rsidR="00DA5287" w:rsidRPr="00120A7A" w:rsidRDefault="00DA5287" w:rsidP="00DA5287">
      <w:pPr>
        <w:numPr>
          <w:ilvl w:val="0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má vypracovaný Postup výkonu činností (PS), ktorý obsahuje implementáciu certifikačnej politiky SK-CA so zapracovanými požiadavkami Európskej Koreňovej Certifikačnej Autority (ERCA),</w:t>
      </w:r>
    </w:p>
    <w:p w:rsidR="00DA5287" w:rsidRPr="00120A7A" w:rsidRDefault="00DA5287" w:rsidP="00DA5287">
      <w:pPr>
        <w:numPr>
          <w:ilvl w:val="0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zabezpečuje personálne a materiálne požiadavky pre riadne vykonávanie jej úloh,</w:t>
      </w:r>
    </w:p>
    <w:p w:rsidR="00DA5287" w:rsidRPr="00120A7A" w:rsidRDefault="00DA5287" w:rsidP="00DA5287">
      <w:pPr>
        <w:numPr>
          <w:ilvl w:val="0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nesie plnú zodpovednosť za riadne vykonávanie jej úloh, aj v tom prípade ak sú niektoré jej úlohy vykonávané alebo čiastočne vykonávané subdodávateľmi,</w:t>
      </w:r>
    </w:p>
    <w:p w:rsidR="00DA5287" w:rsidRPr="00120A7A" w:rsidRDefault="00DA5287" w:rsidP="00DA5287">
      <w:pPr>
        <w:numPr>
          <w:ilvl w:val="0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okamžite informuje SK-MSA o všetkých bezpečnostných incidentoch vzťahujúcich sa na zariadenia a systém SK-CA ako aj na kľúče a certifikáty používané v jej produkčnom prostredí</w:t>
      </w:r>
      <w:r>
        <w:rPr>
          <w:rFonts w:eastAsia="Calibri"/>
          <w:szCs w:val="22"/>
          <w:lang w:eastAsia="en-US"/>
        </w:rPr>
        <w:t>,</w:t>
      </w:r>
    </w:p>
    <w:p w:rsidR="00DA5287" w:rsidRPr="00120A7A" w:rsidRDefault="00DA5287" w:rsidP="00DA5287">
      <w:pPr>
        <w:numPr>
          <w:ilvl w:val="0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musí zabezpečiť nasledovné činnosti:</w:t>
      </w:r>
    </w:p>
    <w:p w:rsidR="00DA5287" w:rsidRPr="00120A7A" w:rsidRDefault="00DA5287" w:rsidP="00DA5287">
      <w:pPr>
        <w:numPr>
          <w:ilvl w:val="1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Vydáva a uchováva certifikáty pre prijímateľov čipových kariet</w:t>
      </w:r>
    </w:p>
    <w:p w:rsidR="00DA5287" w:rsidRPr="00120A7A" w:rsidRDefault="00DA5287" w:rsidP="00DA5287">
      <w:pPr>
        <w:numPr>
          <w:ilvl w:val="1"/>
          <w:numId w:val="3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Spravuje prepojenie s Európskou koreňovou certifikačnou autoritou ERCA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SK-CIA Autorita vydávania kariet (</w:t>
      </w:r>
      <w:proofErr w:type="spellStart"/>
      <w:r w:rsidRPr="00120A7A">
        <w:rPr>
          <w:b/>
          <w:bCs/>
          <w:sz w:val="26"/>
          <w:szCs w:val="26"/>
          <w:lang w:eastAsia="sk-SK"/>
        </w:rPr>
        <w:t>Card</w:t>
      </w:r>
      <w:proofErr w:type="spellEnd"/>
      <w:r w:rsidRPr="00120A7A">
        <w:rPr>
          <w:b/>
          <w:bCs/>
          <w:sz w:val="26"/>
          <w:szCs w:val="26"/>
          <w:lang w:eastAsia="sk-SK"/>
        </w:rPr>
        <w:t xml:space="preserve"> </w:t>
      </w:r>
      <w:proofErr w:type="spellStart"/>
      <w:r w:rsidRPr="00120A7A">
        <w:rPr>
          <w:b/>
          <w:bCs/>
          <w:sz w:val="26"/>
          <w:szCs w:val="26"/>
          <w:lang w:eastAsia="sk-SK"/>
        </w:rPr>
        <w:t>Issuing</w:t>
      </w:r>
      <w:proofErr w:type="spellEnd"/>
      <w:r w:rsidRPr="00120A7A">
        <w:rPr>
          <w:b/>
          <w:bCs/>
          <w:sz w:val="26"/>
          <w:szCs w:val="26"/>
          <w:lang w:eastAsia="sk-SK"/>
        </w:rPr>
        <w:t xml:space="preserve"> </w:t>
      </w:r>
      <w:proofErr w:type="spellStart"/>
      <w:r w:rsidRPr="00120A7A">
        <w:rPr>
          <w:b/>
          <w:bCs/>
          <w:sz w:val="26"/>
          <w:szCs w:val="26"/>
          <w:lang w:eastAsia="sk-SK"/>
        </w:rPr>
        <w:t>Authority</w:t>
      </w:r>
      <w:proofErr w:type="spellEnd"/>
      <w:r w:rsidRPr="00120A7A">
        <w:rPr>
          <w:b/>
          <w:bCs/>
          <w:sz w:val="26"/>
          <w:szCs w:val="26"/>
          <w:lang w:eastAsia="sk-SK"/>
        </w:rPr>
        <w:t>)</w:t>
      </w:r>
    </w:p>
    <w:p w:rsidR="00DA5287" w:rsidRPr="00120A7A" w:rsidRDefault="00DA5287" w:rsidP="00DA5287">
      <w:pPr>
        <w:numPr>
          <w:ilvl w:val="0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zabezpečuje a nesie zodpovednosť za riadne doručenie a správnosť aplikačných dát potrebných pre entity SK-CA a SK-CP,</w:t>
      </w:r>
    </w:p>
    <w:p w:rsidR="00DA5287" w:rsidRPr="00120A7A" w:rsidRDefault="00DA5287" w:rsidP="00DA5287">
      <w:pPr>
        <w:numPr>
          <w:ilvl w:val="0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primeraným spôsobom informuje všetkých prijímateľov o požiadavkách obsiahnutých v tejto politike,</w:t>
      </w:r>
    </w:p>
    <w:p w:rsidR="00DA5287" w:rsidRPr="00120A7A" w:rsidRDefault="00DA5287" w:rsidP="00DA5287">
      <w:pPr>
        <w:numPr>
          <w:ilvl w:val="0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overuje splnenie všetkých nevyhnutných predpokladov pre proces vydávania čipových kariet,</w:t>
      </w:r>
    </w:p>
    <w:p w:rsidR="00DA5287" w:rsidRPr="00120A7A" w:rsidRDefault="00DA5287" w:rsidP="00DA5287">
      <w:pPr>
        <w:numPr>
          <w:ilvl w:val="0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zaručuje nezameniteľnosť a doručenie PIN patriaci k dielenskej karte resp. skutočnému prijímateľovi o vydanie dielenskej karty,</w:t>
      </w:r>
    </w:p>
    <w:p w:rsidR="00DA5287" w:rsidRPr="00120A7A" w:rsidRDefault="00DA5287" w:rsidP="00DA5287">
      <w:pPr>
        <w:numPr>
          <w:ilvl w:val="0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okamžite informuje SK-MSA a SK-CA o zistení všetkých bezpečnostných rizikách a incidentoch v jej produkčnom prostredí</w:t>
      </w:r>
    </w:p>
    <w:p w:rsidR="00DA5287" w:rsidRPr="00120A7A" w:rsidRDefault="00DA5287" w:rsidP="00DA5287">
      <w:pPr>
        <w:numPr>
          <w:ilvl w:val="0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lastRenderedPageBreak/>
        <w:t>musí zabezpečiť nasledovné činnosti:</w:t>
      </w:r>
    </w:p>
    <w:p w:rsidR="00DA5287" w:rsidRPr="00120A7A" w:rsidRDefault="00DA5287" w:rsidP="00DA5287">
      <w:pPr>
        <w:numPr>
          <w:ilvl w:val="1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Príjem žiadostí o vydanie, obnovu, náhradu alebo výmenu čipových kariet</w:t>
      </w:r>
    </w:p>
    <w:p w:rsidR="00DA5287" w:rsidRPr="00120A7A" w:rsidRDefault="00DA5287" w:rsidP="00DA5287">
      <w:pPr>
        <w:numPr>
          <w:ilvl w:val="1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Schvaľovanie a posudzovanie prijatých žiadostí </w:t>
      </w:r>
    </w:p>
    <w:p w:rsidR="00DA5287" w:rsidRPr="00120A7A" w:rsidRDefault="00DA5287" w:rsidP="00DA5287">
      <w:pPr>
        <w:numPr>
          <w:ilvl w:val="1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Registrácia prijímateľa</w:t>
      </w:r>
    </w:p>
    <w:p w:rsidR="00DA5287" w:rsidRPr="00120A7A" w:rsidRDefault="00DA5287" w:rsidP="00DA5287">
      <w:pPr>
        <w:numPr>
          <w:ilvl w:val="1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Zodpovedá za úplné a pravdivé informácie v </w:t>
      </w:r>
      <w:proofErr w:type="spellStart"/>
      <w:r w:rsidRPr="00120A7A">
        <w:rPr>
          <w:rFonts w:eastAsia="Calibri"/>
          <w:szCs w:val="22"/>
          <w:lang w:eastAsia="en-US"/>
        </w:rPr>
        <w:t>personalizačnej</w:t>
      </w:r>
      <w:proofErr w:type="spellEnd"/>
      <w:r w:rsidRPr="00120A7A">
        <w:rPr>
          <w:rFonts w:eastAsia="Calibri"/>
          <w:szCs w:val="22"/>
          <w:lang w:eastAsia="en-US"/>
        </w:rPr>
        <w:t xml:space="preserve"> dávke, ktorú poskytuje organizácii </w:t>
      </w:r>
      <w:r w:rsidRPr="00120A7A">
        <w:rPr>
          <w:rFonts w:eastAsia="Calibri"/>
          <w:b/>
          <w:szCs w:val="22"/>
          <w:lang w:eastAsia="en-US"/>
        </w:rPr>
        <w:t>SK-CP</w:t>
      </w:r>
    </w:p>
    <w:p w:rsidR="00DA5287" w:rsidRPr="00120A7A" w:rsidRDefault="00DA5287" w:rsidP="00DA5287">
      <w:pPr>
        <w:numPr>
          <w:ilvl w:val="1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Vykonáva zálohovanie údajov a spravuje centrálny register všetkých vydaných čipových kariet</w:t>
      </w:r>
    </w:p>
    <w:p w:rsidR="00DA5287" w:rsidRPr="00120A7A" w:rsidRDefault="00DA5287" w:rsidP="00DA5287">
      <w:pPr>
        <w:numPr>
          <w:ilvl w:val="1"/>
          <w:numId w:val="4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Zabezpečuje výmenu informácií s ostatnými Autoritami členských štátov (MSA)</w:t>
      </w:r>
    </w:p>
    <w:p w:rsidR="00DA5287" w:rsidRPr="00120A7A" w:rsidRDefault="00DA5287" w:rsidP="00DA5287">
      <w:pPr>
        <w:keepNext/>
        <w:numPr>
          <w:ilvl w:val="2"/>
          <w:numId w:val="18"/>
        </w:numPr>
        <w:spacing w:before="240" w:after="240"/>
        <w:jc w:val="both"/>
        <w:outlineLvl w:val="2"/>
        <w:rPr>
          <w:b/>
          <w:bCs/>
          <w:sz w:val="26"/>
          <w:szCs w:val="26"/>
          <w:lang w:eastAsia="sk-SK"/>
        </w:rPr>
      </w:pPr>
      <w:r w:rsidRPr="00120A7A">
        <w:rPr>
          <w:b/>
          <w:bCs/>
          <w:sz w:val="26"/>
          <w:szCs w:val="26"/>
          <w:lang w:eastAsia="sk-SK"/>
        </w:rPr>
        <w:t>SK-CP Organizácia personalizácie kariet (</w:t>
      </w:r>
      <w:proofErr w:type="spellStart"/>
      <w:r w:rsidRPr="00120A7A">
        <w:rPr>
          <w:b/>
          <w:bCs/>
          <w:sz w:val="26"/>
          <w:szCs w:val="26"/>
          <w:lang w:eastAsia="sk-SK"/>
        </w:rPr>
        <w:t>Card</w:t>
      </w:r>
      <w:proofErr w:type="spellEnd"/>
      <w:r w:rsidRPr="00120A7A">
        <w:rPr>
          <w:b/>
          <w:bCs/>
          <w:sz w:val="26"/>
          <w:szCs w:val="26"/>
          <w:lang w:eastAsia="sk-SK"/>
        </w:rPr>
        <w:t xml:space="preserve"> </w:t>
      </w:r>
      <w:proofErr w:type="spellStart"/>
      <w:r w:rsidRPr="00120A7A">
        <w:rPr>
          <w:b/>
          <w:bCs/>
          <w:sz w:val="26"/>
          <w:szCs w:val="26"/>
          <w:lang w:eastAsia="sk-SK"/>
        </w:rPr>
        <w:t>personalization</w:t>
      </w:r>
      <w:proofErr w:type="spellEnd"/>
      <w:r w:rsidRPr="00120A7A">
        <w:rPr>
          <w:b/>
          <w:bCs/>
          <w:sz w:val="26"/>
          <w:szCs w:val="26"/>
          <w:lang w:eastAsia="sk-SK"/>
        </w:rPr>
        <w:t xml:space="preserve"> </w:t>
      </w:r>
      <w:proofErr w:type="spellStart"/>
      <w:r w:rsidRPr="00120A7A">
        <w:rPr>
          <w:b/>
          <w:bCs/>
          <w:sz w:val="26"/>
          <w:szCs w:val="26"/>
          <w:lang w:eastAsia="sk-SK"/>
        </w:rPr>
        <w:t>organization</w:t>
      </w:r>
      <w:proofErr w:type="spellEnd"/>
      <w:r w:rsidRPr="00120A7A">
        <w:rPr>
          <w:b/>
          <w:bCs/>
          <w:sz w:val="26"/>
          <w:szCs w:val="26"/>
          <w:lang w:eastAsia="sk-SK"/>
        </w:rPr>
        <w:t>)</w:t>
      </w:r>
    </w:p>
    <w:p w:rsidR="00DA5287" w:rsidRPr="00120A7A" w:rsidRDefault="00DA5287" w:rsidP="00DA5287">
      <w:pPr>
        <w:numPr>
          <w:ilvl w:val="0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 oblasti svojej pôsobnosti vykonáva požiadavky Nariadenia Rady (ES) č. 3821/85, (ES) č. 2135/98 a (ES) č. 1360/2002, všetkých náležitých právnych predpisov, certifikačnej politiky Európskej Koreňovej Certifikačnej Autority  (ERCA) ako aj Postupov pre výkon činností (PS) SK-CA,</w:t>
      </w:r>
    </w:p>
    <w:p w:rsidR="00DA5287" w:rsidRPr="00120A7A" w:rsidRDefault="00DA5287" w:rsidP="00DA5287">
      <w:pPr>
        <w:numPr>
          <w:ilvl w:val="0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má uzatvorenú zmluvu s organizáciou SK-MSA, v ktorej sa zaväzuje plniť svoje povinnosti podľa požiadaviek nariadení popísaných v bode a),</w:t>
      </w:r>
    </w:p>
    <w:p w:rsidR="00DA5287" w:rsidRPr="00120A7A" w:rsidRDefault="00DA5287" w:rsidP="00DA5287">
      <w:pPr>
        <w:numPr>
          <w:ilvl w:val="0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predpísaným spôsobom poskytuje organizácii SK-MSA informácie o správnom vykonávaní svojich úloh a dodržiavaní Postupov pre výkon činností</w:t>
      </w:r>
    </w:p>
    <w:p w:rsidR="00DA5287" w:rsidRPr="00120A7A" w:rsidRDefault="00DA5287" w:rsidP="00DA5287">
      <w:pPr>
        <w:numPr>
          <w:ilvl w:val="0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okamžite informuje organizáciu SK-CA o všetkých bezpečnostných rizikách a incidentoch vzťahujúcich sa na vykonávanie úloh v jej produkčnom prostredí</w:t>
      </w:r>
    </w:p>
    <w:p w:rsidR="00DA5287" w:rsidRPr="00120A7A" w:rsidRDefault="00DA5287" w:rsidP="00DA5287">
      <w:pPr>
        <w:numPr>
          <w:ilvl w:val="0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Musí zabezpečiť nasledovné činnosti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Kontrola kvality čipových kariet (testovanie vzorov typov čipových kariet)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Spracovanie </w:t>
      </w:r>
      <w:proofErr w:type="spellStart"/>
      <w:r w:rsidRPr="00120A7A">
        <w:rPr>
          <w:rFonts w:eastAsia="Calibri"/>
          <w:szCs w:val="22"/>
          <w:lang w:eastAsia="en-US"/>
        </w:rPr>
        <w:t>personalizačnej</w:t>
      </w:r>
      <w:proofErr w:type="spellEnd"/>
      <w:r w:rsidRPr="00120A7A">
        <w:rPr>
          <w:rFonts w:eastAsia="Calibri"/>
          <w:szCs w:val="22"/>
          <w:lang w:eastAsia="en-US"/>
        </w:rPr>
        <w:t xml:space="preserve"> dávky od organizácie </w:t>
      </w:r>
      <w:r w:rsidRPr="00120A7A">
        <w:rPr>
          <w:rFonts w:eastAsia="Calibri"/>
          <w:b/>
          <w:szCs w:val="22"/>
          <w:lang w:eastAsia="en-US"/>
        </w:rPr>
        <w:t>SK-CIA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Vydanie čipovej karty – nahratie kľúčov a certifikátov na čipovú kartu, potlač čipových kariet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Distribúcia čipových kariet smerom k prijímateľom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Tlač PIN-obálok a ich distribúcia smerom k prijímateľom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Uchovávanie symetrického kľúča pre dielenské karty</w:t>
      </w:r>
    </w:p>
    <w:p w:rsidR="00DA5287" w:rsidRPr="00120A7A" w:rsidRDefault="00DA5287" w:rsidP="00DA5287">
      <w:pPr>
        <w:numPr>
          <w:ilvl w:val="1"/>
          <w:numId w:val="5"/>
        </w:numPr>
        <w:spacing w:before="120"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Zálohovanie dát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 xml:space="preserve"> Nariadenia Európskeho parlamentu a Rady EÚ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Prevádzku systému digitálneho tachografu druhej generácie upravuje nariadenie </w:t>
      </w:r>
      <w:r w:rsidRPr="00120A7A">
        <w:rPr>
          <w:rFonts w:eastAsia="Calibri"/>
          <w:color w:val="000000"/>
          <w:szCs w:val="22"/>
          <w:shd w:val="clear" w:color="auto" w:fill="FFFFFF"/>
          <w:lang w:eastAsia="en-US"/>
        </w:rPr>
        <w:t>Európskeho parlamentu a Rady</w:t>
      </w:r>
      <w:r w:rsidRPr="00120A7A">
        <w:rPr>
          <w:rFonts w:eastAsia="Calibri"/>
          <w:szCs w:val="22"/>
          <w:lang w:eastAsia="en-US"/>
        </w:rPr>
        <w:t xml:space="preserve"> (EÚ) č. 165/2014 zo 4. februára 2014 o tachografoch v cestnej doprave, ktorým sa ruší nariadenie Rady (EHS) č. 3821/85 o záznamovom zariadení v cestnej doprave a mení nariadenie Európskeho parlamentu a Rady (ES) č. 561/2006 o harmonizácii niektorých právnych predpisov v sociálnej oblasti, ktoré sa týkajú cestnej dopravy (ďalej len „nariadenie (EÚ) č. 165/2014“).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lastRenderedPageBreak/>
        <w:t xml:space="preserve">Členské štáty EÚ sú </w:t>
      </w:r>
      <w:proofErr w:type="spellStart"/>
      <w:r>
        <w:rPr>
          <w:rFonts w:eastAsia="Calibri"/>
          <w:szCs w:val="22"/>
          <w:lang w:eastAsia="en-US"/>
        </w:rPr>
        <w:t>podľa</w:t>
      </w:r>
      <w:r w:rsidRPr="00120A7A">
        <w:rPr>
          <w:rFonts w:eastAsia="Calibri"/>
          <w:szCs w:val="22"/>
          <w:lang w:eastAsia="en-US"/>
        </w:rPr>
        <w:t>tohto</w:t>
      </w:r>
      <w:proofErr w:type="spellEnd"/>
      <w:r w:rsidRPr="00120A7A">
        <w:rPr>
          <w:rFonts w:eastAsia="Calibri"/>
          <w:szCs w:val="22"/>
          <w:lang w:eastAsia="en-US"/>
        </w:rPr>
        <w:t xml:space="preserve"> nariadenia povinné zaviesť inteligentné tachografy, digitálne tachografy druhej generácie s pripojením na zariadenie globálneho navigačného satelitného systému (GNSS), komunikačné zariadenie na diaľkovú včasnú detekciu a nepovinné rozhranie s inteligentnými dopravnými systémami.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Vykonávacím aktom podľa článku 11 nariadenia (EÚ) č. 165/2014 je vykonávacie nariadenie Komisie (EÚ) 2016/799 z 18. marca 2016, ktorým sa vykonáva nariadenie (EÚ) č. 165/2014 a ktorým sa ustanovujú požiadavky na konštrukciu, skúšanie, montáž, prevádzku a opravu tachografov a ich komponentov (ďalej len „nariadenie (EÚ) 799/2016“).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IS DT druhej generácie podľa najnovších právnych predpisoch o tachografoch ( nariadenie Európskeho parlamentu a Rady (EÚ) č. 165/2014 ) vyžadujú, aby si členské štáty vymieňali informácie elektronicky s cieľom zabezpečiť, aby sa tachografy riadne používali na uplatňovanie pravidiel sociálnej cestnej dopravy. Komisia prijala 21. januára 2016 vykonávacie nariadenie (EÚ) č. 2016/68, ktorým sa stanovuje povinné pripojenie členských štátov k systému </w:t>
      </w:r>
      <w:proofErr w:type="spellStart"/>
      <w:r w:rsidRPr="00120A7A">
        <w:rPr>
          <w:rFonts w:eastAsia="Calibri"/>
          <w:szCs w:val="22"/>
          <w:lang w:eastAsia="en-US"/>
        </w:rPr>
        <w:t>TACHOnet</w:t>
      </w:r>
      <w:proofErr w:type="spellEnd"/>
      <w:r w:rsidRPr="00120A7A">
        <w:rPr>
          <w:rFonts w:eastAsia="Calibri"/>
          <w:szCs w:val="22"/>
          <w:lang w:eastAsia="en-US"/>
        </w:rPr>
        <w:t xml:space="preserve"> do 2. marca 2018, ako aj technické podmienky používania systému </w:t>
      </w:r>
      <w:proofErr w:type="spellStart"/>
      <w:r w:rsidRPr="00120A7A">
        <w:rPr>
          <w:rFonts w:eastAsia="Calibri"/>
          <w:szCs w:val="22"/>
          <w:lang w:eastAsia="en-US"/>
        </w:rPr>
        <w:t>TACHOnet</w:t>
      </w:r>
      <w:proofErr w:type="spellEnd"/>
      <w:r w:rsidRPr="00120A7A">
        <w:rPr>
          <w:rFonts w:eastAsia="Calibri"/>
          <w:szCs w:val="22"/>
          <w:lang w:eastAsia="en-US"/>
        </w:rPr>
        <w:t>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Podľa čl. 31 nariadenia Európskeho parlamentu a Rady (EÚ) č. 165/2014 - Komisia a členské štáty prijmú všetky opatrenia potrebné na zabezpečenie toho, aby elektronické registre boli vzájomne prepojené a prístupné v celej Únii, a to pomocou systému zasielania správ </w:t>
      </w:r>
      <w:proofErr w:type="spellStart"/>
      <w:r w:rsidRPr="00120A7A">
        <w:rPr>
          <w:rFonts w:eastAsia="Calibri"/>
          <w:szCs w:val="22"/>
          <w:lang w:eastAsia="en-US"/>
        </w:rPr>
        <w:t>TACHOnet</w:t>
      </w:r>
      <w:proofErr w:type="spellEnd"/>
      <w:r w:rsidRPr="00120A7A">
        <w:rPr>
          <w:rFonts w:eastAsia="Calibri"/>
          <w:szCs w:val="22"/>
          <w:lang w:eastAsia="en-US"/>
        </w:rPr>
        <w:t xml:space="preserve"> uvedenom v odporúčaní 2010/19/EÚ alebo iného kompatibilného systému. V prípade využitia kompatibilného systému je možná výmena elektronických údajov so všetkými ostatnými členskými štátmi prostredníctvom systému zasielania správ </w:t>
      </w:r>
      <w:proofErr w:type="spellStart"/>
      <w:r w:rsidRPr="00120A7A">
        <w:rPr>
          <w:rFonts w:eastAsia="Calibri"/>
          <w:szCs w:val="22"/>
          <w:lang w:eastAsia="en-US"/>
        </w:rPr>
        <w:t>TACHOnet</w:t>
      </w:r>
      <w:proofErr w:type="spellEnd"/>
      <w:r w:rsidRPr="00120A7A">
        <w:rPr>
          <w:rFonts w:eastAsia="Calibri"/>
          <w:szCs w:val="22"/>
          <w:lang w:eastAsia="en-US"/>
        </w:rPr>
        <w:t>.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 xml:space="preserve"> Národná legislatíva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Navrhované riešenie musí spĺňať aj bezpečnostné požiadavky nasledovných právnych predpisov Slovenskej republiky: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Zákon č. 95/2019 Z. z. o informačných technológiách vo verejnej správe a o zmene a doplnení niektorých zákonov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Zákon č.  69/2018 Z. z. o kybernetickej bezpečnosti a o zmene a doplnení niektorých v znení neskorších predpisov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Zákon č. 18/</w:t>
      </w:r>
      <w:r w:rsidRPr="00887BF0">
        <w:rPr>
          <w:lang w:eastAsia="sk-SK"/>
        </w:rPr>
        <w:t>2018 Z. z. o ochrane osobných údajov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Nariadenie Európskeho parlamentu a Rady (EÚ) 2016/679 o ochrane fyzických osôb pri spracúvaní osobných údajov a o voľnom pohybe takýchto údajov,  ktorým sa zrušuje smernica 95/46/ES (všeobecné nariadenie o ochrane údajov) (GDPR)</w:t>
      </w: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Metodické usmernenia – prevádzkové smernice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Prevádzku a fungovanie IS DT druhej generácie upravujú aj ďalšie dokumenty a metodické pokyny pre všetky role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Metodika pre certifikačnú autoritu SK-CA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>
        <w:rPr>
          <w:lang w:eastAsia="sk-SK"/>
        </w:rPr>
        <w:t>Metodika</w:t>
      </w:r>
      <w:r w:rsidRPr="00120A7A">
        <w:rPr>
          <w:lang w:eastAsia="sk-SK"/>
        </w:rPr>
        <w:t xml:space="preserve"> pre </w:t>
      </w:r>
      <w:r>
        <w:rPr>
          <w:lang w:eastAsia="sk-SK"/>
        </w:rPr>
        <w:t>používateľa</w:t>
      </w:r>
      <w:r w:rsidRPr="00120A7A">
        <w:rPr>
          <w:lang w:eastAsia="sk-SK"/>
        </w:rPr>
        <w:t xml:space="preserve"> IS DT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Metodika pre interného audítora IS DT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Metodika pre ekonóma IS DT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 xml:space="preserve">Metodika pre </w:t>
      </w:r>
      <w:proofErr w:type="spellStart"/>
      <w:r w:rsidRPr="00120A7A">
        <w:rPr>
          <w:lang w:eastAsia="sk-SK"/>
        </w:rPr>
        <w:t>personalizéra</w:t>
      </w:r>
      <w:proofErr w:type="spellEnd"/>
      <w:r w:rsidRPr="00120A7A">
        <w:rPr>
          <w:lang w:eastAsia="sk-SK"/>
        </w:rPr>
        <w:t xml:space="preserve"> IS DT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Metodika pre reklamačného technika IS DT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Metodika pre skladníka IS DT</w:t>
      </w:r>
    </w:p>
    <w:p w:rsidR="00DA5287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120A7A">
        <w:rPr>
          <w:lang w:eastAsia="sk-SK"/>
        </w:rPr>
        <w:t>Metodika pre skartovača IS DT</w:t>
      </w:r>
    </w:p>
    <w:p w:rsidR="00DA5287" w:rsidRPr="00120A7A" w:rsidRDefault="00DA5287" w:rsidP="00DA5287">
      <w:pPr>
        <w:numPr>
          <w:ilvl w:val="0"/>
          <w:numId w:val="23"/>
        </w:numPr>
        <w:spacing w:before="120" w:after="160" w:line="259" w:lineRule="auto"/>
        <w:contextualSpacing/>
        <w:jc w:val="both"/>
        <w:rPr>
          <w:lang w:eastAsia="sk-SK"/>
        </w:rPr>
      </w:pPr>
      <w:r w:rsidRPr="0034441E">
        <w:rPr>
          <w:lang w:eastAsia="sk-SK"/>
        </w:rPr>
        <w:t>Metodika pre zberné miesto IS DT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Poskytnuté pr</w:t>
      </w:r>
      <w:r w:rsidRPr="00120A7A">
        <w:rPr>
          <w:rFonts w:eastAsia="Calibri"/>
          <w:szCs w:val="22"/>
          <w:lang w:eastAsia="en-US"/>
        </w:rPr>
        <w:t xml:space="preserve">evádzkové smernice </w:t>
      </w:r>
      <w:r>
        <w:rPr>
          <w:rFonts w:eastAsia="Calibri"/>
          <w:szCs w:val="22"/>
          <w:lang w:eastAsia="en-US"/>
        </w:rPr>
        <w:t xml:space="preserve">od Objednávateľa </w:t>
      </w:r>
      <w:r w:rsidRPr="00120A7A">
        <w:rPr>
          <w:rFonts w:eastAsia="Calibri"/>
          <w:szCs w:val="22"/>
          <w:lang w:eastAsia="en-US"/>
        </w:rPr>
        <w:t xml:space="preserve">pre všetky zapojené role </w:t>
      </w:r>
      <w:r>
        <w:rPr>
          <w:rFonts w:eastAsia="Calibri"/>
          <w:szCs w:val="22"/>
          <w:lang w:eastAsia="en-US"/>
        </w:rPr>
        <w:t xml:space="preserve">v prípade zmien </w:t>
      </w:r>
      <w:r w:rsidRPr="00120A7A">
        <w:t>príslušnej legislatívy</w:t>
      </w:r>
      <w:r>
        <w:rPr>
          <w:rFonts w:eastAsia="Calibri"/>
          <w:szCs w:val="22"/>
          <w:lang w:eastAsia="en-US"/>
        </w:rPr>
        <w:t xml:space="preserve"> </w:t>
      </w:r>
      <w:r w:rsidRPr="00120A7A">
        <w:rPr>
          <w:rFonts w:eastAsia="Calibri"/>
          <w:szCs w:val="22"/>
          <w:lang w:eastAsia="en-US"/>
        </w:rPr>
        <w:t xml:space="preserve">musia byť vypracované poskytovateľom systému a následne schválené </w:t>
      </w:r>
      <w:r>
        <w:rPr>
          <w:rFonts w:eastAsia="Calibri"/>
          <w:szCs w:val="22"/>
          <w:lang w:eastAsia="en-US"/>
        </w:rPr>
        <w:t>Objednávateľom</w:t>
      </w:r>
      <w:r w:rsidRPr="00120A7A">
        <w:rPr>
          <w:rFonts w:eastAsia="Calibri"/>
          <w:szCs w:val="22"/>
          <w:lang w:eastAsia="en-US"/>
        </w:rPr>
        <w:t xml:space="preserve">. </w:t>
      </w:r>
    </w:p>
    <w:p w:rsidR="00DA5287" w:rsidRPr="00120A7A" w:rsidRDefault="00DA5287" w:rsidP="00DA5287">
      <w:pPr>
        <w:jc w:val="both"/>
        <w:rPr>
          <w:rFonts w:eastAsia="Calibri"/>
          <w:szCs w:val="22"/>
          <w:lang w:eastAsia="en-US"/>
        </w:rPr>
      </w:pPr>
    </w:p>
    <w:p w:rsidR="00DA5287" w:rsidRPr="00120A7A" w:rsidRDefault="00DA5287" w:rsidP="00DA5287">
      <w:pPr>
        <w:keepNext/>
        <w:numPr>
          <w:ilvl w:val="1"/>
          <w:numId w:val="18"/>
        </w:numPr>
        <w:spacing w:before="240" w:after="240"/>
        <w:ind w:left="578" w:hanging="578"/>
        <w:jc w:val="both"/>
        <w:outlineLvl w:val="1"/>
        <w:rPr>
          <w:b/>
          <w:bCs/>
          <w:i/>
          <w:iCs/>
          <w:sz w:val="28"/>
          <w:szCs w:val="28"/>
          <w:lang w:eastAsia="sk-SK"/>
        </w:rPr>
      </w:pPr>
      <w:r w:rsidRPr="00120A7A">
        <w:rPr>
          <w:b/>
          <w:bCs/>
          <w:i/>
          <w:iCs/>
          <w:sz w:val="28"/>
          <w:szCs w:val="28"/>
          <w:lang w:eastAsia="sk-SK"/>
        </w:rPr>
        <w:t>Národná politika certifikačného orgánu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V rámci systému Digitálny tachograf bola dňa </w:t>
      </w:r>
      <w:r>
        <w:rPr>
          <w:rFonts w:eastAsia="Calibri"/>
          <w:szCs w:val="22"/>
          <w:lang w:eastAsia="en-US"/>
        </w:rPr>
        <w:t>29.08.2023</w:t>
      </w:r>
      <w:r w:rsidRPr="00120A7A">
        <w:rPr>
          <w:rFonts w:eastAsia="Calibri"/>
          <w:szCs w:val="22"/>
          <w:lang w:eastAsia="en-US"/>
        </w:rPr>
        <w:t xml:space="preserve"> európskou koreňovou certifikačnou autoritou Európsky certifikačný orgán pre korene (</w:t>
      </w:r>
      <w:proofErr w:type="spellStart"/>
      <w:r w:rsidRPr="00120A7A">
        <w:rPr>
          <w:rFonts w:eastAsia="Calibri"/>
          <w:szCs w:val="22"/>
          <w:lang w:eastAsia="en-US"/>
        </w:rPr>
        <w:t>European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Root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Certification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Authority</w:t>
      </w:r>
      <w:proofErr w:type="spellEnd"/>
      <w:r w:rsidRPr="00120A7A">
        <w:rPr>
          <w:rFonts w:eastAsia="Calibri"/>
          <w:szCs w:val="22"/>
          <w:lang w:eastAsia="en-US"/>
        </w:rPr>
        <w:t xml:space="preserve"> ďalej len „ERCA“) schválená Politika národného certifikačného orgánu Slovenskej republiky (Slovakia – </w:t>
      </w:r>
      <w:proofErr w:type="spellStart"/>
      <w:r w:rsidRPr="00120A7A">
        <w:rPr>
          <w:rFonts w:eastAsia="Calibri"/>
          <w:szCs w:val="22"/>
          <w:lang w:eastAsia="en-US"/>
        </w:rPr>
        <w:t>Member</w:t>
      </w:r>
      <w:proofErr w:type="spellEnd"/>
      <w:r w:rsidRPr="00120A7A">
        <w:rPr>
          <w:rFonts w:eastAsia="Calibri"/>
          <w:szCs w:val="22"/>
          <w:lang w:eastAsia="en-US"/>
        </w:rPr>
        <w:t xml:space="preserve"> State </w:t>
      </w:r>
      <w:proofErr w:type="spellStart"/>
      <w:r w:rsidRPr="00120A7A">
        <w:rPr>
          <w:rFonts w:eastAsia="Calibri"/>
          <w:szCs w:val="22"/>
          <w:lang w:eastAsia="en-US"/>
        </w:rPr>
        <w:t>Certification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Authority</w:t>
      </w:r>
      <w:proofErr w:type="spellEnd"/>
      <w:r w:rsidRPr="00120A7A">
        <w:rPr>
          <w:rFonts w:eastAsia="Calibri"/>
          <w:szCs w:val="22"/>
          <w:lang w:eastAsia="en-US"/>
        </w:rPr>
        <w:t>, ďalej len „SK-MSCA“).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Tento dokument tvorí certifikačnú politiku (ďalej len „CP“) pre PKI infraštruktúru digitálneho tachografu. Stanovuje pravidlá na úrovni národnej certifikačnej autority pre generovanie kľúčov, správu kľúčov a podpisovanie certifikátov pre systém Digitálneho Tachografu. Aby mohla ERCA vydávať certifikáty pre národné certifikačné autority členských štátov (</w:t>
      </w:r>
      <w:proofErr w:type="spellStart"/>
      <w:r w:rsidRPr="00120A7A">
        <w:rPr>
          <w:rFonts w:eastAsia="Calibri"/>
          <w:szCs w:val="22"/>
          <w:lang w:eastAsia="en-US"/>
        </w:rPr>
        <w:t>Member</w:t>
      </w:r>
      <w:proofErr w:type="spellEnd"/>
      <w:r w:rsidRPr="00120A7A">
        <w:rPr>
          <w:rFonts w:eastAsia="Calibri"/>
          <w:szCs w:val="22"/>
          <w:lang w:eastAsia="en-US"/>
        </w:rPr>
        <w:t xml:space="preserve"> State </w:t>
      </w:r>
      <w:proofErr w:type="spellStart"/>
      <w:r w:rsidRPr="00120A7A">
        <w:rPr>
          <w:rFonts w:eastAsia="Calibri"/>
          <w:szCs w:val="22"/>
          <w:lang w:eastAsia="en-US"/>
        </w:rPr>
        <w:t>Certification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Authority</w:t>
      </w:r>
      <w:proofErr w:type="spellEnd"/>
      <w:r w:rsidRPr="00120A7A">
        <w:rPr>
          <w:rFonts w:eastAsia="Calibri"/>
          <w:szCs w:val="22"/>
          <w:lang w:eastAsia="en-US"/>
        </w:rPr>
        <w:t xml:space="preserve"> ďalej len „MSCA“) alebo distribuovať symetrické kľúče MSCA, musí MSCA spĺňať požiadavky stanovené aj v tomto dokumente.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Systém Európskeho digitálneho tachografu druhej generácie „Inteligentný tachograf“ bol implementovaný nariadením Európskeho parlamentu a Rady (EÚ) č. 165/2014.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Príloha 1C k vykonávaciemu nariadeniu Komisie (EÚ) 2016/799 stanovuje technické požiadavky na konštrukciu, skúšanie, inštaláciu, prevádzku a opravy inteligentných tachografov a ich komponentov.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Dodatok 11 (Spoločné bezpečnostné mechanizmy) v prílohe 1C špecifikuje zabezpečenie bezpečnostných mechanizmov</w:t>
      </w:r>
      <w:r>
        <w:rPr>
          <w:rFonts w:eastAsia="Calibri"/>
          <w:szCs w:val="22"/>
          <w:lang w:eastAsia="en-US"/>
        </w:rPr>
        <w:t>:</w:t>
      </w:r>
    </w:p>
    <w:p w:rsidR="00DA5287" w:rsidRPr="00120A7A" w:rsidRDefault="00DA5287" w:rsidP="00DA5287">
      <w:pPr>
        <w:numPr>
          <w:ilvl w:val="1"/>
          <w:numId w:val="24"/>
        </w:numPr>
        <w:spacing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Vzájomná autentifikácia medzi rôznymi komponentmi systému tachografov.</w:t>
      </w:r>
    </w:p>
    <w:p w:rsidR="00DA5287" w:rsidRPr="00120A7A" w:rsidRDefault="00DA5287" w:rsidP="00DA5287">
      <w:pPr>
        <w:numPr>
          <w:ilvl w:val="1"/>
          <w:numId w:val="24"/>
        </w:numPr>
        <w:spacing w:after="120"/>
        <w:ind w:left="714" w:hanging="357"/>
        <w:jc w:val="both"/>
        <w:rPr>
          <w:lang w:eastAsia="sk-SK"/>
        </w:rPr>
      </w:pPr>
      <w:r w:rsidRPr="00120A7A">
        <w:rPr>
          <w:lang w:eastAsia="sk-SK"/>
        </w:rPr>
        <w:t>Dôvernosť, integritu, pravosť a / alebo neodmietnutie údajov prenášaných medzi rôznymi komponentmi systému tachografov alebo stiahnuté na externé pamäťové médium.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Časť B dodatku 11 opisuje, ako sa používajú kryptografické systémy s verejným kľúčom založené na eliptickej krivke a symetrické kryptografické systémy založené na AES, aby sa to dosiahlo v prípade systému tachografov druhej generácie.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>Infraštruktúra verejných kľúčov (</w:t>
      </w:r>
      <w:proofErr w:type="spellStart"/>
      <w:r w:rsidRPr="00120A7A">
        <w:rPr>
          <w:rFonts w:eastAsia="Calibri"/>
          <w:szCs w:val="22"/>
          <w:lang w:eastAsia="en-US"/>
        </w:rPr>
        <w:t>Public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Key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Infrastructure</w:t>
      </w:r>
      <w:proofErr w:type="spellEnd"/>
      <w:r w:rsidRPr="00120A7A">
        <w:rPr>
          <w:rFonts w:eastAsia="Calibri"/>
          <w:szCs w:val="22"/>
          <w:lang w:eastAsia="en-US"/>
        </w:rPr>
        <w:t>, ďalej len „PKI“) bola navrhnutá na</w:t>
      </w:r>
      <w:r>
        <w:rPr>
          <w:rFonts w:eastAsia="Calibri"/>
          <w:szCs w:val="22"/>
          <w:lang w:eastAsia="en-US"/>
        </w:rPr>
        <w:t> </w:t>
      </w:r>
      <w:r w:rsidRPr="00120A7A">
        <w:rPr>
          <w:rFonts w:eastAsia="Calibri"/>
          <w:szCs w:val="22"/>
          <w:lang w:eastAsia="en-US"/>
        </w:rPr>
        <w:t xml:space="preserve">podporu kryptografických systémov verejného kľúča, zatiaľ čo symetrické kryptografické systémy sa spoliehajú na hlavné kľúče, ktoré musia byť doručené príslušným aktérom. Bola zriadená infraštruktúra pozostávajúca z troch vrstiev. </w:t>
      </w:r>
    </w:p>
    <w:p w:rsidR="00DA5287" w:rsidRPr="00120A7A" w:rsidRDefault="00DA5287" w:rsidP="00DA5287">
      <w:pPr>
        <w:spacing w:after="120"/>
        <w:jc w:val="both"/>
        <w:rPr>
          <w:rFonts w:eastAsia="Calibri"/>
          <w:szCs w:val="22"/>
          <w:lang w:eastAsia="en-US"/>
        </w:rPr>
      </w:pPr>
      <w:r w:rsidRPr="00120A7A">
        <w:rPr>
          <w:rFonts w:eastAsia="Calibri"/>
          <w:szCs w:val="22"/>
          <w:lang w:eastAsia="en-US"/>
        </w:rPr>
        <w:t xml:space="preserve">Na európskej úrovni je zodpovedný za vytváranie a riadenie koreňových párov verejno-súkromných kľúčov s príslušnými certifikátmi a symetrických kmeňových kľúčov Európsky certifikačný orgán pre korene (ERCA). ERCA vydáva certifikáty certifikačným orgánom členských štátov (MSCA) a distribuuje symetrické kmeňové kľúče orgánom členských štátov. Spoločnosti MSCA sú zodpovedné za vydávanie osvedčení o inteligentnom tachografe, ako aj za distribúciu symetrických kmeňových kľúčov a iných údajov odvodených z hlavných kľúčov, ktoré sa majú inštalovať v zariadení </w:t>
      </w:r>
      <w:proofErr w:type="spellStart"/>
      <w:r w:rsidRPr="00120A7A">
        <w:rPr>
          <w:rFonts w:eastAsia="Calibri"/>
          <w:szCs w:val="22"/>
          <w:lang w:eastAsia="en-US"/>
        </w:rPr>
        <w:t>Smart</w:t>
      </w:r>
      <w:proofErr w:type="spellEnd"/>
      <w:r w:rsidRPr="00120A7A">
        <w:rPr>
          <w:rFonts w:eastAsia="Calibri"/>
          <w:szCs w:val="22"/>
          <w:lang w:eastAsia="en-US"/>
        </w:rPr>
        <w:t xml:space="preserve"> </w:t>
      </w:r>
      <w:proofErr w:type="spellStart"/>
      <w:r w:rsidRPr="00120A7A">
        <w:rPr>
          <w:rFonts w:eastAsia="Calibri"/>
          <w:szCs w:val="22"/>
          <w:lang w:eastAsia="en-US"/>
        </w:rPr>
        <w:t>Tachograph</w:t>
      </w:r>
      <w:proofErr w:type="spellEnd"/>
      <w:r w:rsidRPr="00120A7A">
        <w:rPr>
          <w:rFonts w:eastAsia="Calibri"/>
          <w:szCs w:val="22"/>
          <w:lang w:eastAsia="en-US"/>
        </w:rPr>
        <w:t>.</w:t>
      </w:r>
    </w:p>
    <w:p w:rsidR="00925132" w:rsidRPr="00DA5287" w:rsidRDefault="00925132" w:rsidP="00DA5287">
      <w:pPr>
        <w:spacing w:after="200" w:line="276" w:lineRule="auto"/>
        <w:rPr>
          <w:rFonts w:eastAsia="Calibri"/>
          <w:szCs w:val="22"/>
          <w:lang w:eastAsia="en-US"/>
        </w:rPr>
      </w:pPr>
    </w:p>
    <w:sectPr w:rsidR="00925132" w:rsidRPr="00DA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417"/>
    <w:multiLevelType w:val="hybridMultilevel"/>
    <w:tmpl w:val="D7A0A008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DCA"/>
    <w:multiLevelType w:val="hybridMultilevel"/>
    <w:tmpl w:val="008EB826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BDC"/>
    <w:multiLevelType w:val="hybridMultilevel"/>
    <w:tmpl w:val="7674C59C"/>
    <w:lvl w:ilvl="0" w:tplc="22C8B8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715F"/>
    <w:multiLevelType w:val="hybridMultilevel"/>
    <w:tmpl w:val="2048D0A0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11E6"/>
    <w:multiLevelType w:val="hybridMultilevel"/>
    <w:tmpl w:val="6AA00D92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7611"/>
    <w:multiLevelType w:val="multilevel"/>
    <w:tmpl w:val="0BD6629C"/>
    <w:lvl w:ilvl="0">
      <w:start w:val="1"/>
      <w:numFmt w:val="decimal"/>
      <w:lvlText w:val="%1"/>
      <w:lvlJc w:val="left"/>
      <w:pPr>
        <w:ind w:left="432" w:hanging="432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4B622A"/>
    <w:multiLevelType w:val="hybridMultilevel"/>
    <w:tmpl w:val="6220DB6C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E0F2A"/>
    <w:multiLevelType w:val="hybridMultilevel"/>
    <w:tmpl w:val="8B5E20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3618"/>
    <w:multiLevelType w:val="hybridMultilevel"/>
    <w:tmpl w:val="F65EFC10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17591"/>
    <w:multiLevelType w:val="hybridMultilevel"/>
    <w:tmpl w:val="D6C4B668"/>
    <w:lvl w:ilvl="0" w:tplc="9C82C6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225818"/>
    <w:multiLevelType w:val="hybridMultilevel"/>
    <w:tmpl w:val="D0B898E8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96EA0"/>
    <w:multiLevelType w:val="hybridMultilevel"/>
    <w:tmpl w:val="878C9D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2BB6"/>
    <w:multiLevelType w:val="hybridMultilevel"/>
    <w:tmpl w:val="22FC947A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21F4D"/>
    <w:multiLevelType w:val="hybridMultilevel"/>
    <w:tmpl w:val="2340AB6A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1539E"/>
    <w:multiLevelType w:val="hybridMultilevel"/>
    <w:tmpl w:val="556C65F2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A03CE"/>
    <w:multiLevelType w:val="hybridMultilevel"/>
    <w:tmpl w:val="62167F40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73EA2"/>
    <w:multiLevelType w:val="hybridMultilevel"/>
    <w:tmpl w:val="9D6010D0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3579C"/>
    <w:multiLevelType w:val="hybridMultilevel"/>
    <w:tmpl w:val="BF3E34B6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E37BA"/>
    <w:multiLevelType w:val="hybridMultilevel"/>
    <w:tmpl w:val="4B14ACD0"/>
    <w:lvl w:ilvl="0" w:tplc="29842D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313EA2C2">
      <w:start w:val="2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396F28"/>
    <w:multiLevelType w:val="hybridMultilevel"/>
    <w:tmpl w:val="792C1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0E9E0A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16046"/>
    <w:multiLevelType w:val="hybridMultilevel"/>
    <w:tmpl w:val="345E64EC"/>
    <w:lvl w:ilvl="0" w:tplc="5AC6F430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1173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3A6A4361"/>
    <w:multiLevelType w:val="hybridMultilevel"/>
    <w:tmpl w:val="E78A3A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4AE2"/>
    <w:multiLevelType w:val="hybridMultilevel"/>
    <w:tmpl w:val="93F213C8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1A5E8E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43491"/>
    <w:multiLevelType w:val="hybridMultilevel"/>
    <w:tmpl w:val="C4A694C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E0B8723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96CCA"/>
    <w:multiLevelType w:val="hybridMultilevel"/>
    <w:tmpl w:val="4B06BB9C"/>
    <w:lvl w:ilvl="0" w:tplc="1A98A2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B103D7"/>
    <w:multiLevelType w:val="hybridMultilevel"/>
    <w:tmpl w:val="7DA0E9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54230"/>
    <w:multiLevelType w:val="hybridMultilevel"/>
    <w:tmpl w:val="2FEE39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6296"/>
    <w:multiLevelType w:val="hybridMultilevel"/>
    <w:tmpl w:val="7D5C8ECC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41BEC"/>
    <w:multiLevelType w:val="hybridMultilevel"/>
    <w:tmpl w:val="D67AC932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93C95"/>
    <w:multiLevelType w:val="hybridMultilevel"/>
    <w:tmpl w:val="C19A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206CB"/>
    <w:multiLevelType w:val="hybridMultilevel"/>
    <w:tmpl w:val="B0B6D9B4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62444"/>
    <w:multiLevelType w:val="hybridMultilevel"/>
    <w:tmpl w:val="47FA8E16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14F35"/>
    <w:multiLevelType w:val="hybridMultilevel"/>
    <w:tmpl w:val="B99E6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85C62"/>
    <w:multiLevelType w:val="hybridMultilevel"/>
    <w:tmpl w:val="C0B698D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E0B8723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96963"/>
    <w:multiLevelType w:val="hybridMultilevel"/>
    <w:tmpl w:val="AC163C64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26F7F"/>
    <w:multiLevelType w:val="hybridMultilevel"/>
    <w:tmpl w:val="5784B890"/>
    <w:lvl w:ilvl="0" w:tplc="22C8B8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CA456F"/>
    <w:multiLevelType w:val="hybridMultilevel"/>
    <w:tmpl w:val="0680BE20"/>
    <w:lvl w:ilvl="0" w:tplc="22C8B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24"/>
  </w:num>
  <w:num w:numId="4">
    <w:abstractNumId w:val="9"/>
  </w:num>
  <w:num w:numId="5">
    <w:abstractNumId w:val="18"/>
  </w:num>
  <w:num w:numId="6">
    <w:abstractNumId w:val="21"/>
  </w:num>
  <w:num w:numId="7">
    <w:abstractNumId w:val="26"/>
  </w:num>
  <w:num w:numId="8">
    <w:abstractNumId w:val="2"/>
  </w:num>
  <w:num w:numId="9">
    <w:abstractNumId w:val="23"/>
  </w:num>
  <w:num w:numId="10">
    <w:abstractNumId w:val="33"/>
  </w:num>
  <w:num w:numId="11">
    <w:abstractNumId w:val="17"/>
  </w:num>
  <w:num w:numId="12">
    <w:abstractNumId w:val="31"/>
  </w:num>
  <w:num w:numId="13">
    <w:abstractNumId w:val="0"/>
  </w:num>
  <w:num w:numId="14">
    <w:abstractNumId w:val="16"/>
  </w:num>
  <w:num w:numId="15">
    <w:abstractNumId w:val="27"/>
  </w:num>
  <w:num w:numId="16">
    <w:abstractNumId w:val="3"/>
  </w:num>
  <w:num w:numId="17">
    <w:abstractNumId w:val="8"/>
  </w:num>
  <w:num w:numId="18">
    <w:abstractNumId w:val="5"/>
  </w:num>
  <w:num w:numId="19">
    <w:abstractNumId w:val="19"/>
  </w:num>
  <w:num w:numId="20">
    <w:abstractNumId w:val="28"/>
  </w:num>
  <w:num w:numId="21">
    <w:abstractNumId w:val="36"/>
  </w:num>
  <w:num w:numId="22">
    <w:abstractNumId w:val="22"/>
  </w:num>
  <w:num w:numId="23">
    <w:abstractNumId w:val="34"/>
  </w:num>
  <w:num w:numId="24">
    <w:abstractNumId w:val="12"/>
  </w:num>
  <w:num w:numId="25">
    <w:abstractNumId w:val="14"/>
  </w:num>
  <w:num w:numId="26">
    <w:abstractNumId w:val="35"/>
  </w:num>
  <w:num w:numId="27">
    <w:abstractNumId w:val="1"/>
  </w:num>
  <w:num w:numId="28">
    <w:abstractNumId w:val="6"/>
  </w:num>
  <w:num w:numId="29">
    <w:abstractNumId w:val="10"/>
  </w:num>
  <w:num w:numId="30">
    <w:abstractNumId w:val="30"/>
  </w:num>
  <w:num w:numId="31">
    <w:abstractNumId w:val="15"/>
  </w:num>
  <w:num w:numId="32">
    <w:abstractNumId w:val="20"/>
  </w:num>
  <w:num w:numId="33">
    <w:abstractNumId w:val="11"/>
  </w:num>
  <w:num w:numId="34">
    <w:abstractNumId w:val="25"/>
  </w:num>
  <w:num w:numId="35">
    <w:abstractNumId w:val="7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87"/>
    <w:rsid w:val="00925132"/>
    <w:rsid w:val="00D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1BA1"/>
  <w15:chartTrackingRefBased/>
  <w15:docId w15:val="{1B5A8852-815B-4A01-BF2A-646DB1D2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,Medium List 2 - Accent 41,Odsek zoznamu2"/>
    <w:basedOn w:val="Normlny"/>
    <w:link w:val="OdsekzoznamuChar"/>
    <w:uiPriority w:val="34"/>
    <w:qFormat/>
    <w:rsid w:val="00DA5287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DA5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Predvolenpsmoodseku"/>
    <w:rsid w:val="00DA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igitalnytachograf.s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7234</Words>
  <Characters>41236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48374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Mydlová, Petra</dc:creator>
  <cp:keywords/>
  <dc:description/>
  <cp:lastModifiedBy>Mydlová, Petra</cp:lastModifiedBy>
  <cp:revision>1</cp:revision>
  <dcterms:created xsi:type="dcterms:W3CDTF">2025-12-17T13:43:00Z</dcterms:created>
  <dcterms:modified xsi:type="dcterms:W3CDTF">2025-12-17T13:43:00Z</dcterms:modified>
</cp:coreProperties>
</file>