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FC293" w14:textId="09B40C43" w:rsidR="00D02C4C" w:rsidRPr="003458ED" w:rsidRDefault="00D02C4C" w:rsidP="003458ED">
      <w:pPr>
        <w:pStyle w:val="Hlavika"/>
        <w:pBdr>
          <w:top w:val="single" w:sz="4" w:space="1" w:color="auto"/>
          <w:left w:val="single" w:sz="4" w:space="4" w:color="auto"/>
          <w:bottom w:val="single" w:sz="4" w:space="1" w:color="auto"/>
          <w:right w:val="single" w:sz="4" w:space="4" w:color="auto"/>
        </w:pBdr>
        <w:spacing w:after="120"/>
        <w:jc w:val="both"/>
        <w:rPr>
          <w:rFonts w:ascii="Calibri" w:hAnsi="Calibri" w:cs="Calibri"/>
          <w:b/>
          <w:bCs/>
          <w:sz w:val="22"/>
          <w:szCs w:val="22"/>
        </w:rPr>
      </w:pPr>
      <w:r w:rsidRPr="003458ED">
        <w:rPr>
          <w:rFonts w:ascii="Calibri" w:hAnsi="Calibri" w:cs="Calibri"/>
          <w:b/>
          <w:bCs/>
          <w:sz w:val="22"/>
          <w:szCs w:val="22"/>
        </w:rPr>
        <w:t>P</w:t>
      </w:r>
      <w:r w:rsidR="003458ED">
        <w:rPr>
          <w:rFonts w:ascii="Calibri" w:hAnsi="Calibri" w:cs="Calibri"/>
          <w:b/>
          <w:bCs/>
          <w:sz w:val="22"/>
          <w:szCs w:val="22"/>
        </w:rPr>
        <w:t>RÍLOHA</w:t>
      </w:r>
      <w:r w:rsidRPr="003458ED">
        <w:rPr>
          <w:rFonts w:ascii="Calibri" w:hAnsi="Calibri" w:cs="Calibri"/>
          <w:b/>
          <w:bCs/>
          <w:sz w:val="22"/>
          <w:szCs w:val="22"/>
        </w:rPr>
        <w:t xml:space="preserve"> č. </w:t>
      </w:r>
      <w:r w:rsidR="00F50C56" w:rsidRPr="003458ED">
        <w:rPr>
          <w:rFonts w:ascii="Calibri" w:hAnsi="Calibri" w:cs="Calibri"/>
          <w:b/>
          <w:bCs/>
          <w:sz w:val="22"/>
          <w:szCs w:val="22"/>
        </w:rPr>
        <w:t>9</w:t>
      </w:r>
      <w:r w:rsidRPr="003458ED">
        <w:rPr>
          <w:rFonts w:ascii="Calibri" w:hAnsi="Calibri" w:cs="Calibri"/>
          <w:b/>
          <w:bCs/>
          <w:sz w:val="22"/>
          <w:szCs w:val="22"/>
        </w:rPr>
        <w:t xml:space="preserve"> </w:t>
      </w:r>
      <w:r w:rsidR="003458ED">
        <w:rPr>
          <w:rFonts w:ascii="Calibri" w:hAnsi="Calibri" w:cs="Calibri"/>
          <w:b/>
          <w:bCs/>
          <w:sz w:val="22"/>
          <w:szCs w:val="22"/>
        </w:rPr>
        <w:t>SÚŤAŽNÝCH PODKLADOV</w:t>
      </w:r>
      <w:r w:rsidRPr="003458ED">
        <w:rPr>
          <w:rFonts w:ascii="Calibri" w:hAnsi="Calibri" w:cs="Calibri"/>
          <w:b/>
          <w:bCs/>
          <w:sz w:val="22"/>
          <w:szCs w:val="22"/>
        </w:rPr>
        <w:t xml:space="preserve"> </w:t>
      </w:r>
      <w:r w:rsidR="003458ED">
        <w:rPr>
          <w:rFonts w:ascii="Calibri" w:hAnsi="Calibri" w:cs="Calibri"/>
          <w:b/>
          <w:bCs/>
          <w:sz w:val="22"/>
          <w:szCs w:val="22"/>
        </w:rPr>
        <w:t>–</w:t>
      </w:r>
      <w:r w:rsidRPr="003458ED">
        <w:rPr>
          <w:rFonts w:ascii="Calibri" w:hAnsi="Calibri" w:cs="Calibri"/>
          <w:b/>
          <w:bCs/>
          <w:sz w:val="22"/>
          <w:szCs w:val="22"/>
        </w:rPr>
        <w:t xml:space="preserve"> </w:t>
      </w:r>
      <w:r w:rsidR="003458ED">
        <w:rPr>
          <w:rFonts w:ascii="Calibri" w:hAnsi="Calibri" w:cs="Calibri"/>
          <w:b/>
          <w:bCs/>
          <w:sz w:val="22"/>
          <w:szCs w:val="22"/>
        </w:rPr>
        <w:t>ODÔVODNENIE NEROZDELENIA PREDMETU ZÁKAZKY</w:t>
      </w:r>
    </w:p>
    <w:p w14:paraId="7B1BF0F7" w14:textId="77777777" w:rsidR="008E506A" w:rsidRDefault="008E506A" w:rsidP="009F0BD8">
      <w:pPr>
        <w:spacing w:after="120"/>
        <w:jc w:val="center"/>
        <w:rPr>
          <w:rFonts w:ascii="Calibri" w:hAnsi="Calibri" w:cs="Calibri"/>
          <w:b/>
          <w:sz w:val="22"/>
          <w:szCs w:val="22"/>
        </w:rPr>
      </w:pPr>
    </w:p>
    <w:p w14:paraId="2EB3EBDC" w14:textId="3770BD53" w:rsidR="00D02C4C" w:rsidRPr="008E506A" w:rsidRDefault="00D02C4C" w:rsidP="009F0BD8">
      <w:pPr>
        <w:spacing w:after="120"/>
        <w:jc w:val="center"/>
        <w:rPr>
          <w:rFonts w:ascii="Calibri" w:hAnsi="Calibri" w:cs="Calibri"/>
          <w:b/>
          <w:sz w:val="22"/>
          <w:szCs w:val="22"/>
        </w:rPr>
      </w:pPr>
      <w:r w:rsidRPr="008E506A">
        <w:rPr>
          <w:rFonts w:ascii="Calibri" w:hAnsi="Calibri" w:cs="Calibri"/>
          <w:b/>
          <w:sz w:val="22"/>
          <w:szCs w:val="22"/>
        </w:rPr>
        <w:t>Odôvodnenie nerozdelenia predmetu zákazky</w:t>
      </w:r>
    </w:p>
    <w:p w14:paraId="1ADCCE6E" w14:textId="0B5D472E" w:rsidR="00D02C4C" w:rsidRPr="008E506A" w:rsidRDefault="00D02C4C" w:rsidP="008E506A">
      <w:pPr>
        <w:spacing w:after="120"/>
        <w:jc w:val="center"/>
        <w:rPr>
          <w:rFonts w:ascii="Calibri" w:hAnsi="Calibri" w:cs="Calibri"/>
          <w:sz w:val="22"/>
          <w:szCs w:val="22"/>
        </w:rPr>
      </w:pPr>
      <w:r w:rsidRPr="008E506A">
        <w:rPr>
          <w:rFonts w:ascii="Calibri" w:hAnsi="Calibri" w:cs="Calibri"/>
          <w:sz w:val="22"/>
          <w:szCs w:val="22"/>
        </w:rPr>
        <w:t>podľa § 28 ods. 2 zákona č. 343/2015 Z. z. o verejnom obstarávaní a o zmene a doplnení niektorých zákonov v znení neskorších predpisov (ďalej len „</w:t>
      </w:r>
      <w:r w:rsidR="00175765" w:rsidRPr="008E506A">
        <w:rPr>
          <w:rFonts w:ascii="Calibri" w:hAnsi="Calibri" w:cs="Calibri"/>
          <w:b/>
          <w:bCs/>
          <w:sz w:val="22"/>
          <w:szCs w:val="22"/>
        </w:rPr>
        <w:t>ZVO</w:t>
      </w:r>
      <w:r w:rsidRPr="008E506A">
        <w:rPr>
          <w:rFonts w:ascii="Calibri" w:hAnsi="Calibri" w:cs="Calibri"/>
          <w:sz w:val="22"/>
          <w:szCs w:val="22"/>
        </w:rPr>
        <w:t>“)</w:t>
      </w:r>
    </w:p>
    <w:p w14:paraId="23E819D2" w14:textId="77777777" w:rsidR="00D02C4C" w:rsidRPr="008E506A" w:rsidRDefault="00D02C4C" w:rsidP="009F0BD8">
      <w:pPr>
        <w:pStyle w:val="Odsekzoznamu"/>
        <w:spacing w:after="120" w:line="240" w:lineRule="auto"/>
        <w:ind w:left="0"/>
        <w:jc w:val="both"/>
        <w:rPr>
          <w:b/>
        </w:rPr>
      </w:pPr>
      <w:r w:rsidRPr="008E506A">
        <w:rPr>
          <w:b/>
        </w:rPr>
        <w:t>Identifikácia verejného obstarávateľa:</w:t>
      </w:r>
    </w:p>
    <w:p w14:paraId="7FEFE691" w14:textId="77777777" w:rsidR="00941867" w:rsidRPr="008E506A" w:rsidRDefault="00941867" w:rsidP="00941867">
      <w:pPr>
        <w:pStyle w:val="Strednmrieka1zvraznenie21"/>
        <w:ind w:left="0" w:right="74"/>
        <w:rPr>
          <w:rFonts w:ascii="Calibri" w:hAnsi="Calibri" w:cs="Calibri"/>
          <w:b/>
          <w:sz w:val="22"/>
          <w:szCs w:val="22"/>
        </w:rPr>
      </w:pPr>
      <w:r w:rsidRPr="008E506A">
        <w:rPr>
          <w:rFonts w:ascii="Calibri" w:hAnsi="Calibri" w:cs="Calibri"/>
          <w:sz w:val="22"/>
          <w:szCs w:val="22"/>
        </w:rPr>
        <w:t>Názov:</w:t>
      </w:r>
      <w:r w:rsidRPr="008E506A">
        <w:rPr>
          <w:rFonts w:ascii="Calibri" w:hAnsi="Calibri" w:cs="Calibri"/>
          <w:sz w:val="22"/>
          <w:szCs w:val="22"/>
        </w:rPr>
        <w:tab/>
      </w:r>
      <w:r w:rsidRPr="008E506A">
        <w:rPr>
          <w:rFonts w:ascii="Calibri" w:hAnsi="Calibri" w:cs="Calibri"/>
          <w:sz w:val="22"/>
          <w:szCs w:val="22"/>
        </w:rPr>
        <w:tab/>
      </w:r>
      <w:r w:rsidRPr="008E506A">
        <w:rPr>
          <w:rFonts w:ascii="Calibri" w:hAnsi="Calibri" w:cs="Calibri"/>
          <w:sz w:val="22"/>
          <w:szCs w:val="22"/>
        </w:rPr>
        <w:tab/>
      </w:r>
      <w:r w:rsidRPr="008E506A">
        <w:rPr>
          <w:rFonts w:ascii="Calibri" w:hAnsi="Calibri" w:cs="Calibri"/>
          <w:b/>
          <w:sz w:val="22"/>
          <w:szCs w:val="22"/>
        </w:rPr>
        <w:t>Ministerstvo dopravy Slovenskej republiky</w:t>
      </w:r>
    </w:p>
    <w:p w14:paraId="316D4668" w14:textId="77777777" w:rsidR="00941867" w:rsidRPr="008E506A" w:rsidRDefault="00941867" w:rsidP="00941867">
      <w:pPr>
        <w:pStyle w:val="Strednmrieka1zvraznenie21"/>
        <w:ind w:left="0" w:right="74"/>
        <w:rPr>
          <w:rFonts w:ascii="Calibri" w:hAnsi="Calibri" w:cs="Calibri"/>
          <w:sz w:val="22"/>
          <w:szCs w:val="22"/>
        </w:rPr>
      </w:pPr>
      <w:r w:rsidRPr="008E506A">
        <w:rPr>
          <w:rFonts w:ascii="Calibri" w:hAnsi="Calibri" w:cs="Calibri"/>
          <w:sz w:val="22"/>
          <w:szCs w:val="22"/>
        </w:rPr>
        <w:t>Sídlo:</w:t>
      </w:r>
      <w:r w:rsidRPr="008E506A">
        <w:rPr>
          <w:rFonts w:ascii="Calibri" w:hAnsi="Calibri" w:cs="Calibri"/>
          <w:sz w:val="22"/>
          <w:szCs w:val="22"/>
        </w:rPr>
        <w:tab/>
      </w:r>
      <w:r w:rsidRPr="008E506A">
        <w:rPr>
          <w:rFonts w:ascii="Calibri" w:hAnsi="Calibri" w:cs="Calibri"/>
          <w:sz w:val="22"/>
          <w:szCs w:val="22"/>
        </w:rPr>
        <w:tab/>
      </w:r>
      <w:r w:rsidRPr="008E506A">
        <w:rPr>
          <w:rFonts w:ascii="Calibri" w:hAnsi="Calibri" w:cs="Calibri"/>
          <w:sz w:val="22"/>
          <w:szCs w:val="22"/>
        </w:rPr>
        <w:tab/>
        <w:t>Námestie slobody č. 6, 810 05 Bratislava</w:t>
      </w:r>
    </w:p>
    <w:p w14:paraId="4832D5D4" w14:textId="430EB822" w:rsidR="00941867" w:rsidRPr="008E506A" w:rsidRDefault="00941867" w:rsidP="00941867">
      <w:pPr>
        <w:rPr>
          <w:rFonts w:ascii="Calibri" w:hAnsi="Calibri" w:cs="Calibri"/>
          <w:sz w:val="22"/>
          <w:szCs w:val="22"/>
          <w:lang w:eastAsia="sk-SK"/>
        </w:rPr>
      </w:pPr>
      <w:r w:rsidRPr="008E506A">
        <w:rPr>
          <w:rFonts w:ascii="Calibri" w:hAnsi="Calibri" w:cs="Calibri"/>
          <w:sz w:val="22"/>
          <w:szCs w:val="22"/>
          <w:lang w:eastAsia="sk-SK"/>
        </w:rPr>
        <w:t xml:space="preserve">IČO: </w:t>
      </w:r>
      <w:r w:rsidRPr="008E506A">
        <w:rPr>
          <w:rFonts w:ascii="Calibri" w:hAnsi="Calibri" w:cs="Calibri"/>
          <w:sz w:val="22"/>
          <w:szCs w:val="22"/>
          <w:lang w:eastAsia="sk-SK"/>
        </w:rPr>
        <w:tab/>
      </w:r>
      <w:r w:rsidRPr="008E506A">
        <w:rPr>
          <w:rFonts w:ascii="Calibri" w:hAnsi="Calibri" w:cs="Calibri"/>
          <w:sz w:val="22"/>
          <w:szCs w:val="22"/>
          <w:lang w:eastAsia="sk-SK"/>
        </w:rPr>
        <w:tab/>
      </w:r>
      <w:r w:rsidRPr="008E506A">
        <w:rPr>
          <w:rFonts w:ascii="Calibri" w:hAnsi="Calibri" w:cs="Calibri"/>
          <w:sz w:val="22"/>
          <w:szCs w:val="22"/>
          <w:lang w:eastAsia="sk-SK"/>
        </w:rPr>
        <w:tab/>
        <w:t>30 416 094</w:t>
      </w:r>
    </w:p>
    <w:p w14:paraId="5509B2D0" w14:textId="7B153AD9" w:rsidR="00CB4855" w:rsidRPr="008E506A" w:rsidRDefault="00CB4855" w:rsidP="00CB4855">
      <w:pPr>
        <w:pStyle w:val="Zkladntext"/>
        <w:spacing w:after="0"/>
        <w:ind w:left="2127" w:hanging="2127"/>
        <w:contextualSpacing/>
        <w:jc w:val="both"/>
        <w:rPr>
          <w:rFonts w:ascii="Calibri" w:hAnsi="Calibri" w:cs="Calibri"/>
          <w:b/>
          <w:i/>
          <w:sz w:val="22"/>
          <w:szCs w:val="22"/>
        </w:rPr>
      </w:pPr>
      <w:r w:rsidRPr="008E506A">
        <w:rPr>
          <w:rFonts w:ascii="Calibri" w:hAnsi="Calibri" w:cs="Calibri"/>
          <w:color w:val="000000"/>
          <w:sz w:val="22"/>
          <w:szCs w:val="22"/>
        </w:rPr>
        <w:t>Názov zákazky:</w:t>
      </w:r>
      <w:r w:rsidRPr="008E506A">
        <w:rPr>
          <w:rFonts w:ascii="Calibri" w:hAnsi="Calibri" w:cs="Calibri"/>
          <w:color w:val="000000"/>
          <w:sz w:val="22"/>
          <w:szCs w:val="22"/>
        </w:rPr>
        <w:tab/>
      </w:r>
      <w:r w:rsidRPr="008E506A">
        <w:rPr>
          <w:rFonts w:ascii="Calibri" w:eastAsia="Calibri" w:hAnsi="Calibri" w:cstheme="minorHAnsi"/>
          <w:b/>
          <w:color w:val="548DD4"/>
          <w:sz w:val="22"/>
          <w:szCs w:val="22"/>
        </w:rPr>
        <w:t>„</w:t>
      </w:r>
      <w:r w:rsidR="008E506A" w:rsidRPr="008E506A">
        <w:rPr>
          <w:rFonts w:ascii="Calibri" w:eastAsia="Calibri" w:hAnsi="Calibri" w:cstheme="minorHAnsi"/>
          <w:b/>
          <w:color w:val="548DD4"/>
          <w:sz w:val="22"/>
          <w:szCs w:val="22"/>
          <w:lang w:eastAsia="en-US"/>
        </w:rPr>
        <w:t>Prevádzka a rozvoj informačného systému "Digitálny tachograf", dodávka a personalizácia čipových kariet do digitálnych tachografov</w:t>
      </w:r>
      <w:r w:rsidRPr="008E506A">
        <w:rPr>
          <w:rFonts w:ascii="Calibri" w:eastAsia="Calibri" w:hAnsi="Calibri" w:cstheme="minorHAnsi"/>
          <w:b/>
          <w:color w:val="548DD4"/>
          <w:sz w:val="22"/>
          <w:szCs w:val="22"/>
          <w:lang w:eastAsia="en-US"/>
        </w:rPr>
        <w:t>“</w:t>
      </w:r>
    </w:p>
    <w:p w14:paraId="64FF0E4A" w14:textId="4D772052" w:rsidR="00065FB8" w:rsidRPr="008E506A" w:rsidRDefault="00065FB8" w:rsidP="00065FB8">
      <w:pPr>
        <w:pStyle w:val="Zkladntext"/>
        <w:spacing w:after="0"/>
        <w:ind w:left="2127" w:hanging="2127"/>
        <w:contextualSpacing/>
        <w:jc w:val="both"/>
        <w:rPr>
          <w:rFonts w:ascii="Calibri" w:hAnsi="Calibri" w:cs="Calibri"/>
          <w:color w:val="000000"/>
          <w:sz w:val="22"/>
          <w:szCs w:val="22"/>
        </w:rPr>
      </w:pPr>
      <w:r w:rsidRPr="008E506A">
        <w:rPr>
          <w:rFonts w:ascii="Calibri" w:hAnsi="Calibri" w:cs="Calibri"/>
          <w:sz w:val="22"/>
          <w:szCs w:val="22"/>
        </w:rPr>
        <w:t>Vyhlásená:</w:t>
      </w:r>
      <w:r w:rsidRPr="008E506A">
        <w:rPr>
          <w:rFonts w:ascii="Calibri" w:hAnsi="Calibri" w:cs="Calibri"/>
          <w:sz w:val="22"/>
          <w:szCs w:val="22"/>
        </w:rPr>
        <w:tab/>
        <w:t>zverejnením Oznámenia o vyhlásení verejného obstarávania dňa</w:t>
      </w:r>
      <w:r w:rsidRPr="008E506A">
        <w:rPr>
          <w:rFonts w:ascii="Calibri" w:hAnsi="Calibri" w:cs="Calibri"/>
          <w:color w:val="000000"/>
          <w:sz w:val="22"/>
          <w:szCs w:val="22"/>
        </w:rPr>
        <w:t xml:space="preserve"> </w:t>
      </w:r>
      <w:r w:rsidR="002D1199">
        <w:rPr>
          <w:rFonts w:ascii="Calibri" w:hAnsi="Calibri" w:cs="Calibri"/>
          <w:color w:val="000000"/>
          <w:sz w:val="22"/>
          <w:szCs w:val="22"/>
        </w:rPr>
        <w:t>14.01</w:t>
      </w:r>
      <w:r w:rsidRPr="008E506A">
        <w:rPr>
          <w:rFonts w:ascii="Calibri" w:hAnsi="Calibri" w:cs="Calibri"/>
          <w:color w:val="000000"/>
          <w:sz w:val="22"/>
          <w:szCs w:val="22"/>
        </w:rPr>
        <w:t>.202</w:t>
      </w:r>
      <w:r w:rsidR="002D1199">
        <w:rPr>
          <w:rFonts w:ascii="Calibri" w:hAnsi="Calibri" w:cs="Calibri"/>
          <w:color w:val="000000"/>
          <w:sz w:val="22"/>
          <w:szCs w:val="22"/>
        </w:rPr>
        <w:t>6</w:t>
      </w:r>
      <w:bookmarkStart w:id="0" w:name="_GoBack"/>
      <w:bookmarkEnd w:id="0"/>
      <w:r w:rsidRPr="008E506A">
        <w:rPr>
          <w:rFonts w:ascii="Calibri" w:hAnsi="Calibri" w:cs="Calibri"/>
          <w:color w:val="000000"/>
          <w:sz w:val="22"/>
          <w:szCs w:val="22"/>
        </w:rPr>
        <w:t xml:space="preserve"> v Úradnom vestníku EÚ č.</w:t>
      </w:r>
      <w:r w:rsidR="002D1199">
        <w:rPr>
          <w:rFonts w:ascii="Calibri" w:hAnsi="Calibri" w:cs="Calibri"/>
          <w:color w:val="000000"/>
          <w:sz w:val="22"/>
          <w:szCs w:val="22"/>
        </w:rPr>
        <w:t xml:space="preserve"> S</w:t>
      </w:r>
      <w:r w:rsidRPr="008E506A">
        <w:rPr>
          <w:rFonts w:ascii="Calibri" w:hAnsi="Calibri" w:cs="Calibri"/>
          <w:color w:val="000000"/>
          <w:sz w:val="22"/>
          <w:szCs w:val="22"/>
        </w:rPr>
        <w:t xml:space="preserve"> </w:t>
      </w:r>
      <w:r w:rsidR="002D1199">
        <w:rPr>
          <w:rFonts w:ascii="Calibri" w:hAnsi="Calibri" w:cs="Calibri"/>
          <w:color w:val="000000"/>
          <w:sz w:val="22"/>
          <w:szCs w:val="22"/>
        </w:rPr>
        <w:t>9/2026</w:t>
      </w:r>
      <w:r w:rsidRPr="008E506A">
        <w:rPr>
          <w:rFonts w:ascii="Calibri" w:hAnsi="Calibri" w:cs="Calibri"/>
          <w:color w:val="000000"/>
          <w:sz w:val="22"/>
          <w:szCs w:val="22"/>
        </w:rPr>
        <w:t xml:space="preserve"> pod číslom </w:t>
      </w:r>
      <w:r w:rsidR="002D1199">
        <w:rPr>
          <w:rFonts w:ascii="Calibri" w:hAnsi="Calibri" w:cs="Calibri"/>
          <w:color w:val="000000"/>
          <w:sz w:val="22"/>
          <w:szCs w:val="22"/>
        </w:rPr>
        <w:t>22821-2026</w:t>
      </w:r>
      <w:r w:rsidRPr="008E506A">
        <w:rPr>
          <w:rFonts w:ascii="Calibri" w:hAnsi="Calibri" w:cs="Calibri"/>
          <w:color w:val="000000"/>
          <w:sz w:val="22"/>
          <w:szCs w:val="22"/>
        </w:rPr>
        <w:t xml:space="preserve"> (ďalej len „Oznámenie“)</w:t>
      </w:r>
    </w:p>
    <w:p w14:paraId="0B22BA33" w14:textId="2989950C" w:rsidR="00D02C4C" w:rsidRPr="008E506A" w:rsidRDefault="00D02C4C" w:rsidP="009F0BD8">
      <w:pPr>
        <w:pStyle w:val="Odsekzoznamu"/>
        <w:spacing w:after="120" w:line="240" w:lineRule="auto"/>
        <w:ind w:left="0"/>
        <w:jc w:val="both"/>
        <w:rPr>
          <w:b/>
        </w:rPr>
      </w:pPr>
      <w:r w:rsidRPr="008E506A">
        <w:rPr>
          <w:b/>
        </w:rPr>
        <w:t xml:space="preserve">Predmet </w:t>
      </w:r>
      <w:r w:rsidR="009A7AC0" w:rsidRPr="008E506A">
        <w:rPr>
          <w:b/>
        </w:rPr>
        <w:t>Z</w:t>
      </w:r>
      <w:r w:rsidRPr="008E506A">
        <w:rPr>
          <w:b/>
        </w:rPr>
        <w:t>ákazky</w:t>
      </w:r>
    </w:p>
    <w:p w14:paraId="45056772" w14:textId="28E6F4CC" w:rsidR="00C93A03" w:rsidRPr="008E506A" w:rsidRDefault="008E506A" w:rsidP="009F0BD8">
      <w:pPr>
        <w:tabs>
          <w:tab w:val="left" w:pos="567"/>
          <w:tab w:val="left" w:pos="993"/>
        </w:tabs>
        <w:spacing w:after="120"/>
        <w:jc w:val="both"/>
        <w:rPr>
          <w:rFonts w:ascii="Calibri" w:hAnsi="Calibri" w:cs="Calibri"/>
          <w:sz w:val="22"/>
          <w:szCs w:val="22"/>
        </w:rPr>
      </w:pPr>
      <w:r w:rsidRPr="008E506A">
        <w:rPr>
          <w:rFonts w:ascii="Calibri" w:hAnsi="Calibri" w:cs="Calibri"/>
          <w:sz w:val="22"/>
          <w:szCs w:val="22"/>
        </w:rPr>
        <w:t xml:space="preserve">Predmetom zákazky je zabezpečenie prevádzky informačného systému Digitálny tachograf (ďalej len „IS DT“), vybudovanie a udržiavanie technickej infraštruktúry a zabezpečenie súvisiacich podporných procesov tzn. zber a overenie žiadostí od prijímateľov na zberných miestach, registrácia v IS DT a nákup, príprava a personalizácia, vydávanie čipových kariet opatrených bezpečnostnými prvkami a ich odovzdanie prijímateľovi. </w:t>
      </w:r>
      <w:r w:rsidR="00053C97" w:rsidRPr="008E506A">
        <w:rPr>
          <w:rFonts w:ascii="Calibri" w:hAnsi="Calibri" w:cs="Calibri"/>
          <w:sz w:val="22"/>
          <w:szCs w:val="22"/>
        </w:rPr>
        <w:t xml:space="preserve"> </w:t>
      </w:r>
      <w:r w:rsidR="00D42877" w:rsidRPr="008E506A">
        <w:rPr>
          <w:rFonts w:ascii="Calibri" w:hAnsi="Calibri" w:cs="Calibri"/>
          <w:sz w:val="22"/>
          <w:szCs w:val="22"/>
        </w:rPr>
        <w:t>(ďalej len ,,</w:t>
      </w:r>
      <w:r w:rsidR="00D42877" w:rsidRPr="008E506A">
        <w:rPr>
          <w:rFonts w:ascii="Calibri" w:hAnsi="Calibri" w:cs="Calibri"/>
          <w:b/>
          <w:bCs/>
          <w:sz w:val="22"/>
          <w:szCs w:val="22"/>
        </w:rPr>
        <w:t>predmet zákazky</w:t>
      </w:r>
      <w:r w:rsidR="00D42877" w:rsidRPr="008E506A">
        <w:rPr>
          <w:rFonts w:ascii="Calibri" w:hAnsi="Calibri" w:cs="Calibri"/>
          <w:sz w:val="22"/>
          <w:szCs w:val="22"/>
        </w:rPr>
        <w:t>“).</w:t>
      </w:r>
    </w:p>
    <w:p w14:paraId="049F7705" w14:textId="77777777" w:rsidR="00053C97" w:rsidRPr="008E506A" w:rsidRDefault="00053C97" w:rsidP="009F0BD8">
      <w:pPr>
        <w:spacing w:after="120"/>
        <w:rPr>
          <w:rFonts w:ascii="Calibri" w:hAnsi="Calibri" w:cs="Calibri"/>
          <w:b/>
          <w:sz w:val="22"/>
          <w:szCs w:val="22"/>
        </w:rPr>
      </w:pPr>
    </w:p>
    <w:p w14:paraId="63766F6D" w14:textId="30AD54EB" w:rsidR="0052108C" w:rsidRPr="008E506A" w:rsidRDefault="00C93A03" w:rsidP="009F0BD8">
      <w:pPr>
        <w:spacing w:after="120"/>
        <w:rPr>
          <w:rFonts w:ascii="Calibri" w:hAnsi="Calibri" w:cs="Calibri"/>
          <w:b/>
          <w:sz w:val="22"/>
          <w:szCs w:val="22"/>
        </w:rPr>
      </w:pPr>
      <w:r w:rsidRPr="008E506A">
        <w:rPr>
          <w:rFonts w:ascii="Calibri" w:hAnsi="Calibri" w:cs="Calibri"/>
          <w:b/>
          <w:sz w:val="22"/>
          <w:szCs w:val="22"/>
        </w:rPr>
        <w:t>Odôvodnenie</w:t>
      </w:r>
    </w:p>
    <w:p w14:paraId="3F15B183" w14:textId="77777777" w:rsidR="008E506A" w:rsidRPr="008E506A" w:rsidRDefault="008E506A" w:rsidP="008E506A">
      <w:pPr>
        <w:spacing w:after="120"/>
        <w:jc w:val="both"/>
        <w:rPr>
          <w:rFonts w:ascii="Calibri" w:hAnsi="Calibri" w:cs="Calibri"/>
          <w:sz w:val="22"/>
          <w:szCs w:val="22"/>
        </w:rPr>
      </w:pPr>
      <w:r w:rsidRPr="008E506A">
        <w:rPr>
          <w:rFonts w:ascii="Calibri" w:hAnsi="Calibri" w:cs="Calibri"/>
          <w:sz w:val="22"/>
          <w:szCs w:val="22"/>
        </w:rPr>
        <w:t>Verejný obstarávateľ sa pred samotným vyhlásením verejnej súťaže zaoberal aj spôsobom obstarania z pohľadu zákonnej možnosti, nie povinnosti, podľa § 28 ods. 1 zákona o VO delenia predmetu zákazky na časti, resp. viaceré verejné obstarávania.</w:t>
      </w:r>
    </w:p>
    <w:p w14:paraId="3E47CB80" w14:textId="77777777" w:rsidR="008E506A" w:rsidRPr="008E506A" w:rsidRDefault="008E506A" w:rsidP="008E506A">
      <w:pPr>
        <w:spacing w:after="120"/>
        <w:jc w:val="both"/>
        <w:rPr>
          <w:rFonts w:ascii="Calibri" w:hAnsi="Calibri" w:cs="Calibri"/>
          <w:sz w:val="22"/>
          <w:szCs w:val="22"/>
        </w:rPr>
      </w:pPr>
      <w:r w:rsidRPr="008E506A">
        <w:rPr>
          <w:rFonts w:ascii="Calibri" w:hAnsi="Calibri" w:cs="Calibri"/>
          <w:sz w:val="22"/>
          <w:szCs w:val="22"/>
        </w:rPr>
        <w:t>Verejný obstarávateľ sa zaoberal možnosťou rozdelenia predmetu zákazky na časti. Podľa preambuly smernice Európskeho parlamentu a Rady 2014/24/EÚ z 26. februára 2014 o verejnom obstarávaní a o zrušení smernice 2004/18/ES (Ú. v. EÚ L 94, 28.3.2014) cit.: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w:t>
      </w:r>
    </w:p>
    <w:p w14:paraId="6356D054" w14:textId="77777777" w:rsidR="008E506A" w:rsidRPr="008E506A" w:rsidRDefault="008E506A" w:rsidP="008E506A">
      <w:pPr>
        <w:spacing w:after="120"/>
        <w:jc w:val="both"/>
        <w:rPr>
          <w:rFonts w:ascii="Calibri" w:hAnsi="Calibri" w:cs="Calibri"/>
          <w:sz w:val="22"/>
          <w:szCs w:val="22"/>
        </w:rPr>
      </w:pPr>
      <w:r w:rsidRPr="008E506A">
        <w:rPr>
          <w:rFonts w:ascii="Calibri" w:hAnsi="Calibri" w:cs="Calibri"/>
          <w:sz w:val="22"/>
          <w:szCs w:val="22"/>
        </w:rPr>
        <w:t xml:space="preserve">Infraštruktúra informačného systému Digitálny tachograf kladie dôraz na informačnú bezpečnosť a ochranu osobných dát, preto je vybudovaná ako úzko prepojený systém, so silnými vzájomnými väzbami medzi jednotlivými modulmi ako jeden funkčný celok. Špecifický dôraz je kladený na aspekty informačnej bezpečnosti, najmä na ochranu integrity a autenticity údajov vymieňaných medzi kartami a záznamovým zariadením, ochranu integrity a autenticity údajov sťahovaných z kariet, umožnenie stanovených zapisovacích operácií na karte len pre záznamové zariadenie, dešifrovanie určitých údajov, vylúčenie akejkoľvek možnosti falšovania údajov uložených na kartách, zabránenie neoprávnenému zásahu a identifikácia každej udalosti tohto druhu. IS DT obsahuje aj Certifikačnú autoritu, ktorá je zaradená v hierarchii politík ERCA, v súlade s </w:t>
      </w:r>
      <w:proofErr w:type="spellStart"/>
      <w:r w:rsidRPr="008E506A">
        <w:rPr>
          <w:rFonts w:ascii="Calibri" w:hAnsi="Calibri" w:cs="Calibri"/>
          <w:sz w:val="22"/>
          <w:szCs w:val="22"/>
        </w:rPr>
        <w:t>Regulation</w:t>
      </w:r>
      <w:proofErr w:type="spellEnd"/>
      <w:r w:rsidRPr="008E506A">
        <w:rPr>
          <w:rFonts w:ascii="Calibri" w:hAnsi="Calibri" w:cs="Calibri"/>
          <w:sz w:val="22"/>
          <w:szCs w:val="22"/>
        </w:rPr>
        <w:t xml:space="preserve"> (EU) No 165/2014 of </w:t>
      </w:r>
      <w:proofErr w:type="spellStart"/>
      <w:r w:rsidRPr="008E506A">
        <w:rPr>
          <w:rFonts w:ascii="Calibri" w:hAnsi="Calibri" w:cs="Calibri"/>
          <w:sz w:val="22"/>
          <w:szCs w:val="22"/>
        </w:rPr>
        <w:t>the</w:t>
      </w:r>
      <w:proofErr w:type="spellEnd"/>
      <w:r w:rsidRPr="008E506A">
        <w:rPr>
          <w:rFonts w:ascii="Calibri" w:hAnsi="Calibri" w:cs="Calibri"/>
          <w:sz w:val="22"/>
          <w:szCs w:val="22"/>
        </w:rPr>
        <w:t xml:space="preserve"> </w:t>
      </w:r>
      <w:proofErr w:type="spellStart"/>
      <w:r w:rsidRPr="008E506A">
        <w:rPr>
          <w:rFonts w:ascii="Calibri" w:hAnsi="Calibri" w:cs="Calibri"/>
          <w:sz w:val="22"/>
          <w:szCs w:val="22"/>
        </w:rPr>
        <w:t>European</w:t>
      </w:r>
      <w:proofErr w:type="spellEnd"/>
      <w:r w:rsidRPr="008E506A">
        <w:rPr>
          <w:rFonts w:ascii="Calibri" w:hAnsi="Calibri" w:cs="Calibri"/>
          <w:sz w:val="22"/>
          <w:szCs w:val="22"/>
        </w:rPr>
        <w:t xml:space="preserve"> </w:t>
      </w:r>
      <w:proofErr w:type="spellStart"/>
      <w:r w:rsidRPr="008E506A">
        <w:rPr>
          <w:rFonts w:ascii="Calibri" w:hAnsi="Calibri" w:cs="Calibri"/>
          <w:sz w:val="22"/>
          <w:szCs w:val="22"/>
        </w:rPr>
        <w:t>Parliament</w:t>
      </w:r>
      <w:proofErr w:type="spellEnd"/>
      <w:r w:rsidRPr="008E506A">
        <w:rPr>
          <w:rFonts w:ascii="Calibri" w:hAnsi="Calibri" w:cs="Calibri"/>
          <w:sz w:val="22"/>
          <w:szCs w:val="22"/>
        </w:rPr>
        <w:t xml:space="preserve"> and of </w:t>
      </w:r>
      <w:proofErr w:type="spellStart"/>
      <w:r w:rsidRPr="008E506A">
        <w:rPr>
          <w:rFonts w:ascii="Calibri" w:hAnsi="Calibri" w:cs="Calibri"/>
          <w:sz w:val="22"/>
          <w:szCs w:val="22"/>
        </w:rPr>
        <w:t>the</w:t>
      </w:r>
      <w:proofErr w:type="spellEnd"/>
      <w:r w:rsidRPr="008E506A">
        <w:rPr>
          <w:rFonts w:ascii="Calibri" w:hAnsi="Calibri" w:cs="Calibri"/>
          <w:sz w:val="22"/>
          <w:szCs w:val="22"/>
        </w:rPr>
        <w:t xml:space="preserve"> </w:t>
      </w:r>
      <w:proofErr w:type="spellStart"/>
      <w:r w:rsidRPr="008E506A">
        <w:rPr>
          <w:rFonts w:ascii="Calibri" w:hAnsi="Calibri" w:cs="Calibri"/>
          <w:sz w:val="22"/>
          <w:szCs w:val="22"/>
        </w:rPr>
        <w:t>Council</w:t>
      </w:r>
      <w:proofErr w:type="spellEnd"/>
      <w:r w:rsidRPr="008E506A">
        <w:rPr>
          <w:rFonts w:ascii="Calibri" w:hAnsi="Calibri" w:cs="Calibri"/>
          <w:sz w:val="22"/>
          <w:szCs w:val="22"/>
        </w:rPr>
        <w:t xml:space="preserve">. Z uvedeného dôvodu bol kladený dôraz na minimalizáciu dátových tokov, ktoré by opustili uzavreté prostredie systému a vyžadovali by si samostatný prístup z hľadiska ich informačnej bezpečnosti, ochrany proti útoku a kompromitácie prenášaných dát alebo systému ako celku. Okrem logickej </w:t>
      </w:r>
      <w:r w:rsidRPr="008E506A">
        <w:rPr>
          <w:rFonts w:ascii="Calibri" w:hAnsi="Calibri" w:cs="Calibri"/>
          <w:sz w:val="22"/>
          <w:szCs w:val="22"/>
        </w:rPr>
        <w:lastRenderedPageBreak/>
        <w:t>bezpečnosti, bezpečnostné politiky kladú aj nároky na fyzickú bezpečnosť systému. Oddelenie jednotlivých komponentov IS DT nie je možné, nakoľko by predstavovalo podstatný zásah do architektúry súčasného riešenia a malo by vplyv na zabezpečenie jeho funkčnosti. Zároveň by vyžadovalo úpravu Bezpečnostných politík v rámci prevádzkovaného systému, ako aj v rámci jeho integrácií s ostatnými systémami (</w:t>
      </w:r>
      <w:proofErr w:type="spellStart"/>
      <w:r w:rsidRPr="008E506A">
        <w:rPr>
          <w:rFonts w:ascii="Calibri" w:hAnsi="Calibri" w:cs="Calibri"/>
          <w:sz w:val="22"/>
          <w:szCs w:val="22"/>
        </w:rPr>
        <w:t>TachoNet</w:t>
      </w:r>
      <w:proofErr w:type="spellEnd"/>
      <w:r w:rsidRPr="008E506A">
        <w:rPr>
          <w:rFonts w:ascii="Calibri" w:hAnsi="Calibri" w:cs="Calibri"/>
          <w:sz w:val="22"/>
          <w:szCs w:val="22"/>
        </w:rPr>
        <w:t xml:space="preserve">, </w:t>
      </w:r>
      <w:proofErr w:type="spellStart"/>
      <w:r w:rsidRPr="008E506A">
        <w:rPr>
          <w:rFonts w:ascii="Calibri" w:hAnsi="Calibri" w:cs="Calibri"/>
          <w:sz w:val="22"/>
          <w:szCs w:val="22"/>
        </w:rPr>
        <w:t>Resper</w:t>
      </w:r>
      <w:proofErr w:type="spellEnd"/>
      <w:r w:rsidRPr="008E506A">
        <w:rPr>
          <w:rFonts w:ascii="Calibri" w:hAnsi="Calibri" w:cs="Calibri"/>
          <w:sz w:val="22"/>
          <w:szCs w:val="22"/>
        </w:rPr>
        <w:t>, ERRU). Z uvedeného dôvodu nie je možné z technického hľadiska rozdeliť predmet obstarávania na samostatné celky.</w:t>
      </w:r>
    </w:p>
    <w:p w14:paraId="597B72A9" w14:textId="148316C3" w:rsidR="0066405A" w:rsidRPr="00941867" w:rsidRDefault="008E506A" w:rsidP="008E506A">
      <w:pPr>
        <w:spacing w:after="120"/>
        <w:jc w:val="both"/>
        <w:rPr>
          <w:rFonts w:ascii="Calibri" w:hAnsi="Calibri" w:cs="Calibri"/>
          <w:sz w:val="22"/>
          <w:szCs w:val="22"/>
        </w:rPr>
      </w:pPr>
      <w:r w:rsidRPr="008E506A">
        <w:rPr>
          <w:rFonts w:ascii="Calibri" w:hAnsi="Calibri" w:cs="Calibri"/>
          <w:sz w:val="22"/>
          <w:szCs w:val="22"/>
        </w:rPr>
        <w:t>Verejný obstarávateľ je presvedčený, že aktuálne na trhu pôsobí dostatok hospodárskych subjektov, ktoré dokážu dodať celý predmet zákazky ako celok a na trhu existuje vhodné prostredie na realizáciu hospodárskej súťaže ako celku.</w:t>
      </w:r>
    </w:p>
    <w:sectPr w:rsidR="0066405A" w:rsidRPr="0094186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657E4" w14:textId="77777777" w:rsidR="0037195F" w:rsidRDefault="0037195F" w:rsidP="00D02C4C">
      <w:r>
        <w:separator/>
      </w:r>
    </w:p>
  </w:endnote>
  <w:endnote w:type="continuationSeparator" w:id="0">
    <w:p w14:paraId="2B6C9434" w14:textId="77777777" w:rsidR="0037195F" w:rsidRDefault="0037195F" w:rsidP="00D0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358647"/>
      <w:docPartObj>
        <w:docPartGallery w:val="Page Numbers (Bottom of Page)"/>
        <w:docPartUnique/>
      </w:docPartObj>
    </w:sdtPr>
    <w:sdtEndPr>
      <w:rPr>
        <w:rFonts w:asciiTheme="minorHAnsi" w:hAnsiTheme="minorHAnsi" w:cstheme="minorHAnsi"/>
        <w:sz w:val="20"/>
      </w:rPr>
    </w:sdtEndPr>
    <w:sdtContent>
      <w:p w14:paraId="57332467" w14:textId="7384B5CE" w:rsidR="00D82549" w:rsidRPr="00941867" w:rsidRDefault="00D82549">
        <w:pPr>
          <w:pStyle w:val="Pta"/>
          <w:jc w:val="right"/>
          <w:rPr>
            <w:rFonts w:asciiTheme="minorHAnsi" w:hAnsiTheme="minorHAnsi" w:cstheme="minorHAnsi"/>
            <w:sz w:val="20"/>
          </w:rPr>
        </w:pPr>
        <w:r w:rsidRPr="00941867">
          <w:rPr>
            <w:rFonts w:asciiTheme="minorHAnsi" w:hAnsiTheme="minorHAnsi" w:cstheme="minorHAnsi"/>
            <w:sz w:val="20"/>
          </w:rPr>
          <w:fldChar w:fldCharType="begin"/>
        </w:r>
        <w:r w:rsidRPr="00941867">
          <w:rPr>
            <w:rFonts w:asciiTheme="minorHAnsi" w:hAnsiTheme="minorHAnsi" w:cstheme="minorHAnsi"/>
            <w:sz w:val="20"/>
          </w:rPr>
          <w:instrText>PAGE   \* MERGEFORMAT</w:instrText>
        </w:r>
        <w:r w:rsidRPr="00941867">
          <w:rPr>
            <w:rFonts w:asciiTheme="minorHAnsi" w:hAnsiTheme="minorHAnsi" w:cstheme="minorHAnsi"/>
            <w:sz w:val="20"/>
          </w:rPr>
          <w:fldChar w:fldCharType="separate"/>
        </w:r>
        <w:r w:rsidR="002D1199">
          <w:rPr>
            <w:rFonts w:asciiTheme="minorHAnsi" w:hAnsiTheme="minorHAnsi" w:cstheme="minorHAnsi"/>
            <w:noProof/>
            <w:sz w:val="20"/>
          </w:rPr>
          <w:t>2</w:t>
        </w:r>
        <w:r w:rsidRPr="00941867">
          <w:rPr>
            <w:rFonts w:asciiTheme="minorHAnsi" w:hAnsiTheme="minorHAnsi" w:cstheme="minorHAnsi"/>
            <w:sz w:val="20"/>
          </w:rPr>
          <w:fldChar w:fldCharType="end"/>
        </w:r>
      </w:p>
    </w:sdtContent>
  </w:sdt>
  <w:p w14:paraId="17FF0989" w14:textId="77777777" w:rsidR="002F76D4" w:rsidRDefault="002F76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C982E" w14:textId="77777777" w:rsidR="0037195F" w:rsidRDefault="0037195F" w:rsidP="00D02C4C">
      <w:r>
        <w:separator/>
      </w:r>
    </w:p>
  </w:footnote>
  <w:footnote w:type="continuationSeparator" w:id="0">
    <w:p w14:paraId="3AEE8BDE" w14:textId="77777777" w:rsidR="0037195F" w:rsidRDefault="0037195F" w:rsidP="00D02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58D"/>
    <w:multiLevelType w:val="hybridMultilevel"/>
    <w:tmpl w:val="E4AE86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1805DA"/>
    <w:multiLevelType w:val="hybridMultilevel"/>
    <w:tmpl w:val="60529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D60FE1"/>
    <w:multiLevelType w:val="hybridMultilevel"/>
    <w:tmpl w:val="71FA0DC8"/>
    <w:lvl w:ilvl="0" w:tplc="3A229320">
      <w:numFmt w:val="bullet"/>
      <w:lvlText w:val="-"/>
      <w:lvlJc w:val="left"/>
      <w:pPr>
        <w:ind w:left="502" w:hanging="360"/>
      </w:pPr>
      <w:rPr>
        <w:rFonts w:ascii="Times New Roman" w:eastAsiaTheme="minorHAnsi" w:hAnsi="Times New Roman"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5A926035"/>
    <w:multiLevelType w:val="hybridMultilevel"/>
    <w:tmpl w:val="660421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9907B1A"/>
    <w:multiLevelType w:val="multilevel"/>
    <w:tmpl w:val="BB46E14E"/>
    <w:lvl w:ilvl="0">
      <w:start w:val="1"/>
      <w:numFmt w:val="decimal"/>
      <w:lvlText w:val="%1."/>
      <w:lvlJc w:val="left"/>
      <w:pPr>
        <w:ind w:left="1440" w:hanging="360"/>
      </w:pPr>
      <w:rPr>
        <w:rFonts w:asciiTheme="majorHAnsi" w:eastAsia="Times New Roman" w:hAnsiTheme="majorHAnsi" w:cs="Times New Roman" w:hint="default"/>
        <w:b/>
        <w:sz w:val="22"/>
        <w:szCs w:val="28"/>
      </w:rPr>
    </w:lvl>
    <w:lvl w:ilvl="1">
      <w:start w:val="1"/>
      <w:numFmt w:val="decimal"/>
      <w:isLgl/>
      <w:lvlText w:val="%1.%2."/>
      <w:lvlJc w:val="left"/>
      <w:pPr>
        <w:ind w:left="862" w:hanging="720"/>
      </w:pPr>
      <w:rPr>
        <w:rFonts w:asciiTheme="majorHAnsi" w:hAnsiTheme="majorHAnsi" w:cs="Times New Roman" w:hint="default"/>
        <w:b w:val="0"/>
        <w:i w:val="0"/>
        <w:color w:val="000000"/>
        <w:sz w:val="22"/>
        <w:szCs w:val="24"/>
      </w:rPr>
    </w:lvl>
    <w:lvl w:ilvl="2">
      <w:start w:val="1"/>
      <w:numFmt w:val="decimal"/>
      <w:isLgl/>
      <w:lvlText w:val="%1.%2.%3."/>
      <w:lvlJc w:val="left"/>
      <w:pPr>
        <w:ind w:left="2073" w:hanging="1080"/>
      </w:pPr>
      <w:rPr>
        <w:rFonts w:hint="default"/>
        <w:b w:val="0"/>
        <w:i w:val="0"/>
        <w:color w:val="00000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8DB"/>
    <w:rsid w:val="000066CF"/>
    <w:rsid w:val="00012483"/>
    <w:rsid w:val="000208DB"/>
    <w:rsid w:val="00051172"/>
    <w:rsid w:val="000517EA"/>
    <w:rsid w:val="00053C97"/>
    <w:rsid w:val="00065FB8"/>
    <w:rsid w:val="0006705A"/>
    <w:rsid w:val="00067B71"/>
    <w:rsid w:val="00074060"/>
    <w:rsid w:val="00083036"/>
    <w:rsid w:val="000F44A9"/>
    <w:rsid w:val="001112A6"/>
    <w:rsid w:val="0012440E"/>
    <w:rsid w:val="00127CAF"/>
    <w:rsid w:val="00133766"/>
    <w:rsid w:val="00137BE3"/>
    <w:rsid w:val="00137D03"/>
    <w:rsid w:val="0014220D"/>
    <w:rsid w:val="00156059"/>
    <w:rsid w:val="00175765"/>
    <w:rsid w:val="001B7A6B"/>
    <w:rsid w:val="001C2A3F"/>
    <w:rsid w:val="001D4592"/>
    <w:rsid w:val="001F1754"/>
    <w:rsid w:val="001F409B"/>
    <w:rsid w:val="001F4EEE"/>
    <w:rsid w:val="002261E1"/>
    <w:rsid w:val="00226AFE"/>
    <w:rsid w:val="00241028"/>
    <w:rsid w:val="00257817"/>
    <w:rsid w:val="002A1F89"/>
    <w:rsid w:val="002A52CC"/>
    <w:rsid w:val="002D1199"/>
    <w:rsid w:val="002D1E9E"/>
    <w:rsid w:val="002E198D"/>
    <w:rsid w:val="002F343D"/>
    <w:rsid w:val="002F76D4"/>
    <w:rsid w:val="00316B5E"/>
    <w:rsid w:val="00324A09"/>
    <w:rsid w:val="00324C97"/>
    <w:rsid w:val="003404E2"/>
    <w:rsid w:val="003458ED"/>
    <w:rsid w:val="00347939"/>
    <w:rsid w:val="00354085"/>
    <w:rsid w:val="00361A74"/>
    <w:rsid w:val="0037195F"/>
    <w:rsid w:val="00375740"/>
    <w:rsid w:val="0037664F"/>
    <w:rsid w:val="0039001B"/>
    <w:rsid w:val="00392472"/>
    <w:rsid w:val="003A2472"/>
    <w:rsid w:val="003B46D9"/>
    <w:rsid w:val="003D3666"/>
    <w:rsid w:val="003D6757"/>
    <w:rsid w:val="003D6789"/>
    <w:rsid w:val="00402399"/>
    <w:rsid w:val="00403965"/>
    <w:rsid w:val="0041475A"/>
    <w:rsid w:val="00440497"/>
    <w:rsid w:val="00443140"/>
    <w:rsid w:val="00443AF2"/>
    <w:rsid w:val="00444709"/>
    <w:rsid w:val="00461559"/>
    <w:rsid w:val="00470D9A"/>
    <w:rsid w:val="00481927"/>
    <w:rsid w:val="004A4C70"/>
    <w:rsid w:val="004B0A19"/>
    <w:rsid w:val="004B226D"/>
    <w:rsid w:val="004C7216"/>
    <w:rsid w:val="004E5A15"/>
    <w:rsid w:val="00503004"/>
    <w:rsid w:val="005067B8"/>
    <w:rsid w:val="0052108C"/>
    <w:rsid w:val="00555390"/>
    <w:rsid w:val="00556CAC"/>
    <w:rsid w:val="00582CEA"/>
    <w:rsid w:val="00583715"/>
    <w:rsid w:val="0058648A"/>
    <w:rsid w:val="00596DA0"/>
    <w:rsid w:val="005A24FE"/>
    <w:rsid w:val="005B0492"/>
    <w:rsid w:val="005C233C"/>
    <w:rsid w:val="005C7CE3"/>
    <w:rsid w:val="005D2F55"/>
    <w:rsid w:val="005D7D56"/>
    <w:rsid w:val="005F2C88"/>
    <w:rsid w:val="005F4441"/>
    <w:rsid w:val="0062310C"/>
    <w:rsid w:val="00623F7D"/>
    <w:rsid w:val="006561E3"/>
    <w:rsid w:val="006601F3"/>
    <w:rsid w:val="0066405A"/>
    <w:rsid w:val="0069488B"/>
    <w:rsid w:val="006969BC"/>
    <w:rsid w:val="006A0C74"/>
    <w:rsid w:val="006A1337"/>
    <w:rsid w:val="006B43D9"/>
    <w:rsid w:val="006D64AA"/>
    <w:rsid w:val="006E10AB"/>
    <w:rsid w:val="006E1E58"/>
    <w:rsid w:val="006E521A"/>
    <w:rsid w:val="006F01B9"/>
    <w:rsid w:val="0071068D"/>
    <w:rsid w:val="00711A54"/>
    <w:rsid w:val="00747168"/>
    <w:rsid w:val="0075020F"/>
    <w:rsid w:val="007742A9"/>
    <w:rsid w:val="0077760E"/>
    <w:rsid w:val="007802EF"/>
    <w:rsid w:val="00782EB6"/>
    <w:rsid w:val="007A4F47"/>
    <w:rsid w:val="007A602A"/>
    <w:rsid w:val="007B0D4A"/>
    <w:rsid w:val="007C2970"/>
    <w:rsid w:val="007D41BF"/>
    <w:rsid w:val="007E0A92"/>
    <w:rsid w:val="0080010D"/>
    <w:rsid w:val="0080318C"/>
    <w:rsid w:val="00805AF1"/>
    <w:rsid w:val="0081662A"/>
    <w:rsid w:val="008279C4"/>
    <w:rsid w:val="0084009D"/>
    <w:rsid w:val="008740E3"/>
    <w:rsid w:val="00877084"/>
    <w:rsid w:val="008925CC"/>
    <w:rsid w:val="00896F00"/>
    <w:rsid w:val="008B30FD"/>
    <w:rsid w:val="008C12D1"/>
    <w:rsid w:val="008C29ED"/>
    <w:rsid w:val="008C4DCD"/>
    <w:rsid w:val="008E506A"/>
    <w:rsid w:val="00941867"/>
    <w:rsid w:val="009418C0"/>
    <w:rsid w:val="009664A8"/>
    <w:rsid w:val="0098769B"/>
    <w:rsid w:val="00990B68"/>
    <w:rsid w:val="0099522C"/>
    <w:rsid w:val="009A059D"/>
    <w:rsid w:val="009A2418"/>
    <w:rsid w:val="009A7AC0"/>
    <w:rsid w:val="009B3126"/>
    <w:rsid w:val="009C6E20"/>
    <w:rsid w:val="009D5625"/>
    <w:rsid w:val="009E3B7C"/>
    <w:rsid w:val="009F0BD8"/>
    <w:rsid w:val="00A06BDB"/>
    <w:rsid w:val="00A51E89"/>
    <w:rsid w:val="00A5350C"/>
    <w:rsid w:val="00A7288A"/>
    <w:rsid w:val="00A80E04"/>
    <w:rsid w:val="00AD05E4"/>
    <w:rsid w:val="00AD21BB"/>
    <w:rsid w:val="00AE1FD6"/>
    <w:rsid w:val="00AE5EAC"/>
    <w:rsid w:val="00AF5B53"/>
    <w:rsid w:val="00AF6349"/>
    <w:rsid w:val="00B15A9F"/>
    <w:rsid w:val="00B232CA"/>
    <w:rsid w:val="00B23DBA"/>
    <w:rsid w:val="00B244BA"/>
    <w:rsid w:val="00B448DB"/>
    <w:rsid w:val="00B52592"/>
    <w:rsid w:val="00B5331A"/>
    <w:rsid w:val="00B56097"/>
    <w:rsid w:val="00B57A5D"/>
    <w:rsid w:val="00B645C7"/>
    <w:rsid w:val="00B94A4F"/>
    <w:rsid w:val="00BA1E15"/>
    <w:rsid w:val="00BD0610"/>
    <w:rsid w:val="00BE2CEC"/>
    <w:rsid w:val="00C05FD3"/>
    <w:rsid w:val="00C15184"/>
    <w:rsid w:val="00C307D2"/>
    <w:rsid w:val="00C36A7B"/>
    <w:rsid w:val="00C41B68"/>
    <w:rsid w:val="00C77DC3"/>
    <w:rsid w:val="00C93A03"/>
    <w:rsid w:val="00C948E2"/>
    <w:rsid w:val="00CA507C"/>
    <w:rsid w:val="00CB4855"/>
    <w:rsid w:val="00CB7C2A"/>
    <w:rsid w:val="00CC2319"/>
    <w:rsid w:val="00CE4DF8"/>
    <w:rsid w:val="00CE5140"/>
    <w:rsid w:val="00D00FE9"/>
    <w:rsid w:val="00D02C4C"/>
    <w:rsid w:val="00D05E39"/>
    <w:rsid w:val="00D0701D"/>
    <w:rsid w:val="00D40E99"/>
    <w:rsid w:val="00D42877"/>
    <w:rsid w:val="00D71A2F"/>
    <w:rsid w:val="00D74B0A"/>
    <w:rsid w:val="00D82549"/>
    <w:rsid w:val="00D944D5"/>
    <w:rsid w:val="00DA15DD"/>
    <w:rsid w:val="00DB3144"/>
    <w:rsid w:val="00DB7ED8"/>
    <w:rsid w:val="00DD13E9"/>
    <w:rsid w:val="00DD709E"/>
    <w:rsid w:val="00E00630"/>
    <w:rsid w:val="00E14492"/>
    <w:rsid w:val="00E2451E"/>
    <w:rsid w:val="00E310EB"/>
    <w:rsid w:val="00E344A4"/>
    <w:rsid w:val="00E37A38"/>
    <w:rsid w:val="00E46793"/>
    <w:rsid w:val="00E52B26"/>
    <w:rsid w:val="00E62172"/>
    <w:rsid w:val="00E94F30"/>
    <w:rsid w:val="00EA66F2"/>
    <w:rsid w:val="00EB0F69"/>
    <w:rsid w:val="00EB6174"/>
    <w:rsid w:val="00EC2235"/>
    <w:rsid w:val="00EC5CB9"/>
    <w:rsid w:val="00ED3DC7"/>
    <w:rsid w:val="00F10265"/>
    <w:rsid w:val="00F261F2"/>
    <w:rsid w:val="00F50C56"/>
    <w:rsid w:val="00F5236E"/>
    <w:rsid w:val="00F72447"/>
    <w:rsid w:val="00F73564"/>
    <w:rsid w:val="00F86260"/>
    <w:rsid w:val="00FA032D"/>
    <w:rsid w:val="00FB37B0"/>
    <w:rsid w:val="00FD7810"/>
    <w:rsid w:val="00FE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44D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C4C"/>
    <w:pPr>
      <w:suppressAutoHyphens/>
      <w:spacing w:after="0" w:line="240" w:lineRule="auto"/>
    </w:pPr>
    <w:rPr>
      <w:rFonts w:ascii="Times New Roman" w:eastAsia="Times New Roman" w:hAnsi="Times New Roman" w:cs="Times New Roman"/>
      <w:sz w:val="24"/>
      <w:szCs w:val="24"/>
      <w:lang w:val="sk-SK" w:eastAsia="ar-SA"/>
    </w:rPr>
  </w:style>
  <w:style w:type="paragraph" w:styleId="Nadpis5">
    <w:name w:val="heading 5"/>
    <w:basedOn w:val="Normlny"/>
    <w:link w:val="Nadpis5Char"/>
    <w:qFormat/>
    <w:rsid w:val="00B244BA"/>
    <w:pPr>
      <w:widowControl w:val="0"/>
      <w:suppressAutoHyphens w:val="0"/>
      <w:autoSpaceDE w:val="0"/>
      <w:autoSpaceDN w:val="0"/>
      <w:ind w:left="582"/>
      <w:outlineLvl w:val="4"/>
    </w:pPr>
    <w:rPr>
      <w:rFonts w:ascii="Arial" w:eastAsia="Arial" w:hAnsi="Arial" w:cs="Arial"/>
      <w:b/>
      <w:bCs/>
      <w:sz w:val="21"/>
      <w:szCs w:val="21"/>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02C4C"/>
    <w:pPr>
      <w:tabs>
        <w:tab w:val="center" w:pos="4680"/>
        <w:tab w:val="right" w:pos="9360"/>
      </w:tabs>
    </w:pPr>
  </w:style>
  <w:style w:type="character" w:customStyle="1" w:styleId="HlavikaChar">
    <w:name w:val="Hlavička Char"/>
    <w:basedOn w:val="Predvolenpsmoodseku"/>
    <w:link w:val="Hlavika"/>
    <w:uiPriority w:val="99"/>
    <w:rsid w:val="00D02C4C"/>
  </w:style>
  <w:style w:type="paragraph" w:styleId="Pta">
    <w:name w:val="footer"/>
    <w:basedOn w:val="Normlny"/>
    <w:link w:val="PtaChar"/>
    <w:uiPriority w:val="99"/>
    <w:unhideWhenUsed/>
    <w:rsid w:val="00D02C4C"/>
    <w:pPr>
      <w:tabs>
        <w:tab w:val="center" w:pos="4680"/>
        <w:tab w:val="right" w:pos="9360"/>
      </w:tabs>
    </w:pPr>
  </w:style>
  <w:style w:type="character" w:customStyle="1" w:styleId="PtaChar">
    <w:name w:val="Päta Char"/>
    <w:basedOn w:val="Predvolenpsmoodseku"/>
    <w:link w:val="Pta"/>
    <w:uiPriority w:val="99"/>
    <w:rsid w:val="00D02C4C"/>
  </w:style>
  <w:style w:type="paragraph" w:styleId="Odsekzoznamu">
    <w:name w:val="List Paragraph"/>
    <w:aliases w:val="Bullet Number,lp1,lp11,Use Case List Paragraph,body,Odstavec cíl se seznamem,Odstavec se seznamem1,VS_Odsek,Odsek zoznamu2,Odsek"/>
    <w:basedOn w:val="Normlny"/>
    <w:link w:val="OdsekzoznamuChar"/>
    <w:uiPriority w:val="34"/>
    <w:qFormat/>
    <w:rsid w:val="00D02C4C"/>
    <w:pPr>
      <w:suppressAutoHyphens w:val="0"/>
      <w:spacing w:after="200" w:line="276" w:lineRule="auto"/>
      <w:ind w:left="720"/>
    </w:pPr>
    <w:rPr>
      <w:rFonts w:ascii="Calibri" w:eastAsia="Calibri" w:hAnsi="Calibri" w:cs="Calibri"/>
      <w:sz w:val="22"/>
      <w:szCs w:val="22"/>
      <w:lang w:eastAsia="en-US"/>
    </w:rPr>
  </w:style>
  <w:style w:type="paragraph" w:styleId="Bezriadkovania">
    <w:name w:val="No Spacing"/>
    <w:autoRedefine/>
    <w:uiPriority w:val="1"/>
    <w:qFormat/>
    <w:rsid w:val="00D02C4C"/>
    <w:pPr>
      <w:tabs>
        <w:tab w:val="left" w:pos="1701"/>
      </w:tabs>
      <w:spacing w:before="120" w:after="120" w:line="276" w:lineRule="auto"/>
      <w:ind w:left="2127" w:hanging="2127"/>
      <w:jc w:val="both"/>
    </w:pPr>
    <w:rPr>
      <w:rFonts w:ascii="Times New Roman" w:eastAsia="Times New Roman" w:hAnsi="Times New Roman" w:cs="Times New Roman"/>
      <w:lang w:val="sk-SK"/>
    </w:rPr>
  </w:style>
  <w:style w:type="character" w:customStyle="1" w:styleId="OdsekzoznamuChar">
    <w:name w:val="Odsek zoznamu Char"/>
    <w:aliases w:val="Bullet Number Char,lp1 Char,lp11 Char,Use Case List Paragraph Char,body Char,Odstavec cíl se seznamem Char,Odstavec se seznamem1 Char,VS_Odsek Char,Odsek zoznamu2 Char,Odsek Char"/>
    <w:link w:val="Odsekzoznamu"/>
    <w:uiPriority w:val="34"/>
    <w:qFormat/>
    <w:locked/>
    <w:rsid w:val="00D02C4C"/>
    <w:rPr>
      <w:rFonts w:ascii="Calibri" w:eastAsia="Calibri" w:hAnsi="Calibri" w:cs="Calibri"/>
      <w:lang w:val="sk-SK"/>
    </w:rPr>
  </w:style>
  <w:style w:type="paragraph" w:styleId="Nzov">
    <w:name w:val="Title"/>
    <w:aliases w:val="bežný text"/>
    <w:basedOn w:val="Normlny"/>
    <w:next w:val="Normlny"/>
    <w:link w:val="NzovChar"/>
    <w:autoRedefine/>
    <w:uiPriority w:val="10"/>
    <w:qFormat/>
    <w:rsid w:val="00D02C4C"/>
    <w:pPr>
      <w:suppressAutoHyphens w:val="0"/>
      <w:spacing w:before="120" w:after="120" w:line="276" w:lineRule="auto"/>
      <w:ind w:left="2127" w:hanging="2127"/>
      <w:jc w:val="both"/>
    </w:pPr>
    <w:rPr>
      <w:rFonts w:eastAsiaTheme="majorEastAsia" w:cstheme="majorBidi"/>
      <w:kern w:val="28"/>
      <w:sz w:val="22"/>
      <w:szCs w:val="56"/>
      <w:lang w:eastAsia="en-US"/>
    </w:rPr>
  </w:style>
  <w:style w:type="character" w:customStyle="1" w:styleId="NzovChar">
    <w:name w:val="Názov Char"/>
    <w:aliases w:val="bežný text Char"/>
    <w:basedOn w:val="Predvolenpsmoodseku"/>
    <w:link w:val="Nzov"/>
    <w:uiPriority w:val="10"/>
    <w:rsid w:val="00D02C4C"/>
    <w:rPr>
      <w:rFonts w:ascii="Times New Roman" w:eastAsiaTheme="majorEastAsia" w:hAnsi="Times New Roman" w:cstheme="majorBidi"/>
      <w:kern w:val="28"/>
      <w:szCs w:val="56"/>
      <w:lang w:val="sk-SK"/>
    </w:rPr>
  </w:style>
  <w:style w:type="character" w:styleId="Hypertextovprepojenie">
    <w:name w:val="Hyperlink"/>
    <w:basedOn w:val="Predvolenpsmoodseku"/>
    <w:uiPriority w:val="99"/>
    <w:unhideWhenUsed/>
    <w:rsid w:val="00C93A03"/>
    <w:rPr>
      <w:color w:val="0563C1" w:themeColor="hyperlink"/>
      <w:u w:val="single"/>
    </w:rPr>
  </w:style>
  <w:style w:type="character" w:styleId="PouitHypertextovPrepojenie">
    <w:name w:val="FollowedHyperlink"/>
    <w:basedOn w:val="Predvolenpsmoodseku"/>
    <w:uiPriority w:val="99"/>
    <w:semiHidden/>
    <w:unhideWhenUsed/>
    <w:rsid w:val="005A24FE"/>
    <w:rPr>
      <w:color w:val="954F72" w:themeColor="followedHyperlink"/>
      <w:u w:val="single"/>
    </w:rPr>
  </w:style>
  <w:style w:type="character" w:customStyle="1" w:styleId="Nadpis5Char">
    <w:name w:val="Nadpis 5 Char"/>
    <w:basedOn w:val="Predvolenpsmoodseku"/>
    <w:link w:val="Nadpis5"/>
    <w:qFormat/>
    <w:rsid w:val="00B244BA"/>
    <w:rPr>
      <w:rFonts w:ascii="Arial" w:eastAsia="Arial" w:hAnsi="Arial" w:cs="Arial"/>
      <w:b/>
      <w:bCs/>
      <w:sz w:val="21"/>
      <w:szCs w:val="21"/>
    </w:rPr>
  </w:style>
  <w:style w:type="paragraph" w:styleId="Textbubliny">
    <w:name w:val="Balloon Text"/>
    <w:basedOn w:val="Normlny"/>
    <w:link w:val="TextbublinyChar"/>
    <w:uiPriority w:val="99"/>
    <w:semiHidden/>
    <w:unhideWhenUsed/>
    <w:rsid w:val="00443140"/>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3140"/>
    <w:rPr>
      <w:rFonts w:ascii="Segoe UI" w:eastAsia="Times New Roman" w:hAnsi="Segoe UI" w:cs="Segoe UI"/>
      <w:sz w:val="18"/>
      <w:szCs w:val="18"/>
      <w:lang w:val="sk-SK" w:eastAsia="ar-SA"/>
    </w:rPr>
  </w:style>
  <w:style w:type="paragraph" w:styleId="Revzia">
    <w:name w:val="Revision"/>
    <w:hidden/>
    <w:uiPriority w:val="99"/>
    <w:semiHidden/>
    <w:rsid w:val="00BA1E15"/>
    <w:pPr>
      <w:spacing w:after="0" w:line="240" w:lineRule="auto"/>
    </w:pPr>
    <w:rPr>
      <w:rFonts w:ascii="Times New Roman" w:eastAsia="Times New Roman" w:hAnsi="Times New Roman" w:cs="Times New Roman"/>
      <w:sz w:val="24"/>
      <w:szCs w:val="24"/>
      <w:lang w:val="sk-SK" w:eastAsia="ar-SA"/>
    </w:rPr>
  </w:style>
  <w:style w:type="paragraph" w:styleId="Zkladntext">
    <w:name w:val="Body Text"/>
    <w:aliases w:val="bt,body text,BODY TEXT,subtitle2,b"/>
    <w:basedOn w:val="Normlny"/>
    <w:link w:val="ZkladntextChar"/>
    <w:unhideWhenUsed/>
    <w:qFormat/>
    <w:rsid w:val="00CB4855"/>
    <w:pPr>
      <w:suppressAutoHyphens w:val="0"/>
      <w:spacing w:after="120"/>
    </w:pPr>
    <w:rPr>
      <w:lang w:eastAsia="sk-SK"/>
    </w:rPr>
  </w:style>
  <w:style w:type="character" w:customStyle="1" w:styleId="ZkladntextChar">
    <w:name w:val="Základný text Char"/>
    <w:aliases w:val="bt Char,body text Char,BODY TEXT Char,subtitle2 Char,b Char"/>
    <w:basedOn w:val="Predvolenpsmoodseku"/>
    <w:link w:val="Zkladntext"/>
    <w:rsid w:val="00CB4855"/>
    <w:rPr>
      <w:rFonts w:ascii="Times New Roman" w:eastAsia="Times New Roman" w:hAnsi="Times New Roman" w:cs="Times New Roman"/>
      <w:sz w:val="24"/>
      <w:szCs w:val="24"/>
      <w:lang w:val="sk-SK" w:eastAsia="sk-SK"/>
    </w:rPr>
  </w:style>
  <w:style w:type="paragraph" w:customStyle="1" w:styleId="Strednmrieka1zvraznenie21">
    <w:name w:val="Stredná mriežka 1 – zvýraznenie 21"/>
    <w:basedOn w:val="Normlny"/>
    <w:link w:val="Strednmrieka1zvraznenie2Char"/>
    <w:uiPriority w:val="34"/>
    <w:qFormat/>
    <w:rsid w:val="00941867"/>
    <w:pPr>
      <w:suppressAutoHyphens w:val="0"/>
      <w:ind w:left="708"/>
    </w:pPr>
    <w:rPr>
      <w:lang w:eastAsia="sk-SK"/>
    </w:rPr>
  </w:style>
  <w:style w:type="character" w:customStyle="1" w:styleId="Strednmrieka1zvraznenie2Char">
    <w:name w:val="Stredná mriežka 1 – zvýraznenie 2 Char"/>
    <w:link w:val="Strednmrieka1zvraznenie21"/>
    <w:uiPriority w:val="34"/>
    <w:locked/>
    <w:rsid w:val="00941867"/>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BFF89-EB64-4E5B-B7EB-B3771757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3363</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2021-03-31T10:11:00Z</dcterms:created>
  <dcterms:modified xsi:type="dcterms:W3CDTF">2026-01-14T12:05:00Z</dcterms:modified>
</cp:coreProperties>
</file>