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B678" w14:textId="00EF10A4" w:rsidR="004A689E" w:rsidRPr="00263BC2" w:rsidRDefault="00C93210" w:rsidP="00813EB7">
      <w:pPr>
        <w:spacing w:before="120"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263BC2" w14:paraId="17595FBB" w14:textId="77777777" w:rsidTr="00CF3869">
        <w:tc>
          <w:tcPr>
            <w:tcW w:w="8848" w:type="dxa"/>
            <w:shd w:val="clear" w:color="auto" w:fill="auto"/>
          </w:tcPr>
          <w:tbl>
            <w:tblPr>
              <w:tblW w:w="9214" w:type="dxa"/>
              <w:tblLook w:val="04A0" w:firstRow="1" w:lastRow="0" w:firstColumn="1" w:lastColumn="0" w:noHBand="0" w:noVBand="1"/>
            </w:tblPr>
            <w:tblGrid>
              <w:gridCol w:w="3156"/>
              <w:gridCol w:w="105"/>
              <w:gridCol w:w="5848"/>
              <w:gridCol w:w="105"/>
            </w:tblGrid>
            <w:tr w:rsidR="00CF3869" w:rsidRPr="00263BC2" w14:paraId="50B735DD" w14:textId="77777777" w:rsidTr="004856CB">
              <w:tc>
                <w:tcPr>
                  <w:tcW w:w="3261" w:type="dxa"/>
                  <w:gridSpan w:val="2"/>
                  <w:shd w:val="clear" w:color="auto" w:fill="auto"/>
                </w:tcPr>
                <w:p w14:paraId="1C2ABAE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gridSpan w:val="2"/>
                  <w:shd w:val="clear" w:color="auto" w:fill="auto"/>
                </w:tcPr>
                <w:p w14:paraId="2E50115F"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7FE577DB" w14:textId="77777777" w:rsidTr="00CF3869">
              <w:trPr>
                <w:gridAfter w:val="1"/>
                <w:wAfter w:w="105" w:type="dxa"/>
              </w:trPr>
              <w:tc>
                <w:tcPr>
                  <w:tcW w:w="3156" w:type="dxa"/>
                  <w:shd w:val="clear" w:color="auto" w:fill="auto"/>
                </w:tcPr>
                <w:p w14:paraId="1F9A3CA6"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gridSpan w:val="2"/>
                  <w:shd w:val="clear" w:color="auto" w:fill="auto"/>
                </w:tcPr>
                <w:p w14:paraId="7B156C37" w14:textId="77777777" w:rsidR="00CF3869" w:rsidRPr="00263BC2" w:rsidRDefault="00CF3869" w:rsidP="00CF3869">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CF3869" w:rsidRPr="00263BC2" w14:paraId="1F9F801B" w14:textId="77777777" w:rsidTr="00CF3869">
              <w:trPr>
                <w:gridAfter w:val="1"/>
                <w:wAfter w:w="105" w:type="dxa"/>
              </w:trPr>
              <w:tc>
                <w:tcPr>
                  <w:tcW w:w="3156" w:type="dxa"/>
                  <w:shd w:val="clear" w:color="auto" w:fill="auto"/>
                </w:tcPr>
                <w:p w14:paraId="213412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gridSpan w:val="2"/>
                  <w:shd w:val="clear" w:color="auto" w:fill="auto"/>
                </w:tcPr>
                <w:p w14:paraId="65C05C3D"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CF3869" w:rsidRPr="00263BC2" w14:paraId="2A0AB96B" w14:textId="77777777" w:rsidTr="00CF3869">
              <w:trPr>
                <w:gridAfter w:val="1"/>
                <w:wAfter w:w="105" w:type="dxa"/>
              </w:trPr>
              <w:tc>
                <w:tcPr>
                  <w:tcW w:w="3156" w:type="dxa"/>
                  <w:shd w:val="clear" w:color="auto" w:fill="auto"/>
                </w:tcPr>
                <w:p w14:paraId="45024D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gridSpan w:val="2"/>
                  <w:shd w:val="clear" w:color="auto" w:fill="auto"/>
                </w:tcPr>
                <w:p w14:paraId="0464CCA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CF3869" w:rsidRPr="00263BC2" w14:paraId="2F6DCFE3" w14:textId="77777777" w:rsidTr="00CF3869">
              <w:trPr>
                <w:gridAfter w:val="1"/>
                <w:wAfter w:w="105" w:type="dxa"/>
              </w:trPr>
              <w:tc>
                <w:tcPr>
                  <w:tcW w:w="3156" w:type="dxa"/>
                  <w:shd w:val="clear" w:color="auto" w:fill="auto"/>
                </w:tcPr>
                <w:p w14:paraId="7878068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gridSpan w:val="2"/>
                  <w:shd w:val="clear" w:color="auto" w:fill="auto"/>
                </w:tcPr>
                <w:p w14:paraId="2FA03068"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CF3869" w:rsidRPr="00263BC2" w14:paraId="297A0720" w14:textId="77777777" w:rsidTr="00CF3869">
              <w:trPr>
                <w:gridAfter w:val="1"/>
                <w:wAfter w:w="105" w:type="dxa"/>
              </w:trPr>
              <w:tc>
                <w:tcPr>
                  <w:tcW w:w="3156" w:type="dxa"/>
                  <w:shd w:val="clear" w:color="auto" w:fill="auto"/>
                </w:tcPr>
                <w:p w14:paraId="22CD0398"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Pr>
                      <w:rFonts w:ascii="Times New Roman" w:hAnsi="Times New Roman"/>
                      <w:sz w:val="24"/>
                      <w:szCs w:val="24"/>
                      <w:lang w:val="sk-SK"/>
                    </w:rPr>
                    <w:t>DIČ:</w:t>
                  </w:r>
                </w:p>
              </w:tc>
              <w:tc>
                <w:tcPr>
                  <w:tcW w:w="5953" w:type="dxa"/>
                  <w:gridSpan w:val="2"/>
                  <w:shd w:val="clear" w:color="auto" w:fill="auto"/>
                </w:tcPr>
                <w:p w14:paraId="2E0FA6AD"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CF3869" w:rsidRPr="00263BC2" w14:paraId="519B7B3D" w14:textId="77777777" w:rsidTr="00CF3869">
              <w:trPr>
                <w:gridAfter w:val="1"/>
                <w:wAfter w:w="105" w:type="dxa"/>
              </w:trPr>
              <w:tc>
                <w:tcPr>
                  <w:tcW w:w="3156" w:type="dxa"/>
                  <w:shd w:val="clear" w:color="auto" w:fill="auto"/>
                </w:tcPr>
                <w:p w14:paraId="49702D04"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Pr>
                      <w:rFonts w:ascii="Times New Roman" w:hAnsi="Times New Roman"/>
                      <w:sz w:val="24"/>
                      <w:szCs w:val="24"/>
                    </w:rPr>
                    <w:t>IČ DPH:</w:t>
                  </w:r>
                </w:p>
                <w:p w14:paraId="6F7BDCD9"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gridSpan w:val="2"/>
                  <w:shd w:val="clear" w:color="auto" w:fill="auto"/>
                </w:tcPr>
                <w:p w14:paraId="5999BCAC"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79E7EDD2"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CF3869" w:rsidRPr="00263BC2" w14:paraId="53BF4A9F" w14:textId="77777777" w:rsidTr="00CF3869">
              <w:trPr>
                <w:gridAfter w:val="1"/>
                <w:wAfter w:w="105" w:type="dxa"/>
              </w:trPr>
              <w:tc>
                <w:tcPr>
                  <w:tcW w:w="3156" w:type="dxa"/>
                  <w:shd w:val="clear" w:color="auto" w:fill="auto"/>
                </w:tcPr>
                <w:p w14:paraId="54D3A701"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gridSpan w:val="2"/>
                  <w:shd w:val="clear" w:color="auto" w:fill="auto"/>
                </w:tcPr>
                <w:p w14:paraId="56BAB504"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CF3869" w:rsidRPr="00263BC2" w14:paraId="4E6A3590" w14:textId="77777777" w:rsidTr="00CF3869">
              <w:trPr>
                <w:gridAfter w:val="1"/>
                <w:wAfter w:w="105" w:type="dxa"/>
              </w:trPr>
              <w:tc>
                <w:tcPr>
                  <w:tcW w:w="3156" w:type="dxa"/>
                  <w:shd w:val="clear" w:color="auto" w:fill="auto"/>
                </w:tcPr>
                <w:p w14:paraId="6C9E8C60"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gridSpan w:val="2"/>
                  <w:shd w:val="clear" w:color="auto" w:fill="auto"/>
                </w:tcPr>
                <w:p w14:paraId="197C3E2E"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CF3869" w:rsidRPr="00263BC2" w14:paraId="6C6711CC" w14:textId="77777777" w:rsidTr="00CF3869">
              <w:trPr>
                <w:gridAfter w:val="1"/>
                <w:wAfter w:w="105" w:type="dxa"/>
              </w:trPr>
              <w:tc>
                <w:tcPr>
                  <w:tcW w:w="3156" w:type="dxa"/>
                  <w:shd w:val="clear" w:color="auto" w:fill="auto"/>
                </w:tcPr>
                <w:p w14:paraId="5B95C0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gridSpan w:val="2"/>
                  <w:shd w:val="clear" w:color="auto" w:fill="auto"/>
                </w:tcPr>
                <w:p w14:paraId="1B10BE73"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CF3869" w:rsidRPr="00263BC2" w14:paraId="7A92633C" w14:textId="77777777" w:rsidTr="00CF3869">
              <w:trPr>
                <w:gridAfter w:val="1"/>
                <w:wAfter w:w="105" w:type="dxa"/>
              </w:trPr>
              <w:tc>
                <w:tcPr>
                  <w:tcW w:w="3156" w:type="dxa"/>
                  <w:shd w:val="clear" w:color="auto" w:fill="auto"/>
                </w:tcPr>
                <w:p w14:paraId="4922BF0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5506B25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Tel. kontakt:</w:t>
                  </w:r>
                </w:p>
                <w:p w14:paraId="7CF40AFE" w14:textId="77777777" w:rsidR="00CF3869" w:rsidRPr="007831EF"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gridSpan w:val="2"/>
                  <w:shd w:val="clear" w:color="auto" w:fill="auto"/>
                </w:tcPr>
                <w:p w14:paraId="3956A13E"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B74A1D0"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4707DAE"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CF3869" w:rsidRPr="00263BC2" w14:paraId="5B76F548" w14:textId="77777777" w:rsidTr="004856CB">
              <w:tc>
                <w:tcPr>
                  <w:tcW w:w="3261" w:type="dxa"/>
                  <w:gridSpan w:val="2"/>
                  <w:shd w:val="clear" w:color="auto" w:fill="auto"/>
                </w:tcPr>
                <w:p w14:paraId="5CF5EBA2" w14:textId="77777777" w:rsidR="00CF3869" w:rsidRPr="00263BC2" w:rsidRDefault="00CF3869" w:rsidP="00CF3869">
                  <w:pPr>
                    <w:autoSpaceDE w:val="0"/>
                    <w:autoSpaceDN w:val="0"/>
                    <w:adjustRightInd w:val="0"/>
                    <w:ind w:left="-68"/>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gridSpan w:val="2"/>
                  <w:shd w:val="clear" w:color="auto" w:fill="auto"/>
                </w:tcPr>
                <w:p w14:paraId="615D82F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263BC2" w14:paraId="2AD8022B" w14:textId="77777777" w:rsidTr="00CF3869">
        <w:tc>
          <w:tcPr>
            <w:tcW w:w="8848" w:type="dxa"/>
            <w:shd w:val="clear" w:color="auto" w:fill="auto"/>
          </w:tcPr>
          <w:p w14:paraId="5D37673D" w14:textId="0C85F1D2" w:rsidR="004B0B2B" w:rsidRPr="00263BC2"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21C8E548" w:rsidR="00FC2417" w:rsidRDefault="00D3510C" w:rsidP="007831EF">
      <w:pPr>
        <w:rPr>
          <w:rFonts w:ascii="Times New Roman" w:hAnsi="Times New Roman"/>
          <w:sz w:val="24"/>
          <w:szCs w:val="24"/>
        </w:rPr>
      </w:pPr>
      <w:r w:rsidRPr="00263BC2">
        <w:rPr>
          <w:rFonts w:ascii="Times New Roman" w:hAnsi="Times New Roman"/>
          <w:sz w:val="24"/>
          <w:szCs w:val="24"/>
        </w:rPr>
        <w:t xml:space="preserve">  </w:t>
      </w:r>
      <w:r w:rsidR="001429D6">
        <w:rPr>
          <w:rFonts w:ascii="Times New Roman" w:hAnsi="Times New Roman"/>
          <w:sz w:val="24"/>
          <w:szCs w:val="24"/>
        </w:rPr>
        <w:t>a</w:t>
      </w:r>
    </w:p>
    <w:p w14:paraId="196F77B3" w14:textId="77777777" w:rsidR="00CF3869"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263BC2" w14:paraId="1921D660" w14:textId="77777777" w:rsidTr="00CF3869">
        <w:trPr>
          <w:gridAfter w:val="1"/>
          <w:wAfter w:w="142" w:type="dxa"/>
        </w:trPr>
        <w:tc>
          <w:tcPr>
            <w:tcW w:w="3261" w:type="dxa"/>
            <w:shd w:val="clear" w:color="auto" w:fill="auto"/>
          </w:tcPr>
          <w:p w14:paraId="5A66A45F" w14:textId="77777777" w:rsidR="00CF3869" w:rsidRPr="00263BC2" w:rsidRDefault="00CF3869" w:rsidP="00CF3869">
            <w:pPr>
              <w:ind w:left="180"/>
              <w:rPr>
                <w:rFonts w:ascii="Times New Roman" w:hAnsi="Times New Roman"/>
                <w:b/>
                <w:sz w:val="24"/>
                <w:szCs w:val="24"/>
              </w:rPr>
            </w:pPr>
            <w:r w:rsidRPr="00263BC2">
              <w:rPr>
                <w:rFonts w:ascii="Times New Roman" w:hAnsi="Times New Roman"/>
                <w:b/>
                <w:sz w:val="24"/>
                <w:szCs w:val="24"/>
              </w:rPr>
              <w:t>Predávajúci:</w:t>
            </w:r>
          </w:p>
        </w:tc>
        <w:tc>
          <w:tcPr>
            <w:tcW w:w="5812" w:type="dxa"/>
            <w:gridSpan w:val="2"/>
            <w:shd w:val="clear" w:color="auto" w:fill="auto"/>
          </w:tcPr>
          <w:p w14:paraId="2EBCB96A" w14:textId="77777777" w:rsidR="00CF3869" w:rsidRPr="00263BC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4D6EB158" w14:textId="77777777" w:rsidTr="00CF3869">
        <w:tc>
          <w:tcPr>
            <w:tcW w:w="3403" w:type="dxa"/>
            <w:gridSpan w:val="2"/>
            <w:shd w:val="clear" w:color="auto" w:fill="auto"/>
          </w:tcPr>
          <w:p w14:paraId="4229E39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gridSpan w:val="2"/>
            <w:shd w:val="clear" w:color="auto" w:fill="auto"/>
          </w:tcPr>
          <w:p w14:paraId="5C0BD81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E4AB254" w14:textId="77777777" w:rsidTr="00CF3869">
        <w:tc>
          <w:tcPr>
            <w:tcW w:w="3403" w:type="dxa"/>
            <w:gridSpan w:val="2"/>
            <w:shd w:val="clear" w:color="auto" w:fill="auto"/>
          </w:tcPr>
          <w:p w14:paraId="2A964A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gridSpan w:val="2"/>
            <w:shd w:val="clear" w:color="auto" w:fill="auto"/>
          </w:tcPr>
          <w:p w14:paraId="62B5AA14"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07979FC" w14:textId="77777777" w:rsidTr="00CF3869">
        <w:tc>
          <w:tcPr>
            <w:tcW w:w="3403" w:type="dxa"/>
            <w:gridSpan w:val="2"/>
            <w:shd w:val="clear" w:color="auto" w:fill="auto"/>
          </w:tcPr>
          <w:p w14:paraId="42A84464"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gridSpan w:val="2"/>
            <w:shd w:val="clear" w:color="auto" w:fill="auto"/>
          </w:tcPr>
          <w:p w14:paraId="4C547E2E"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3349CDC4" w14:textId="77777777" w:rsidTr="00CF3869">
        <w:tc>
          <w:tcPr>
            <w:tcW w:w="3403" w:type="dxa"/>
            <w:gridSpan w:val="2"/>
            <w:shd w:val="clear" w:color="auto" w:fill="auto"/>
          </w:tcPr>
          <w:p w14:paraId="2F49992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gridSpan w:val="2"/>
            <w:shd w:val="clear" w:color="auto" w:fill="auto"/>
          </w:tcPr>
          <w:p w14:paraId="35846600"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72D5003" w14:textId="77777777" w:rsidTr="00CF3869">
        <w:tc>
          <w:tcPr>
            <w:tcW w:w="3403" w:type="dxa"/>
            <w:gridSpan w:val="2"/>
            <w:shd w:val="clear" w:color="auto" w:fill="auto"/>
          </w:tcPr>
          <w:p w14:paraId="3167A1C9"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DIČ:</w:t>
            </w:r>
          </w:p>
          <w:p w14:paraId="6FB65DBB"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4236B43D"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Bankové spojenie:</w:t>
            </w:r>
          </w:p>
          <w:p w14:paraId="47AD51D1"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Číslo účtu:</w:t>
            </w:r>
          </w:p>
          <w:p w14:paraId="5F28879B" w14:textId="77777777" w:rsidR="00CF3869" w:rsidRPr="00164D5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gridSpan w:val="2"/>
            <w:shd w:val="clear" w:color="auto" w:fill="auto"/>
          </w:tcPr>
          <w:p w14:paraId="30E7267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2EBC79C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0F9998FF"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28F3B37"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BDF78E3"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73736382" w14:textId="77777777" w:rsidTr="00CF3869">
        <w:tc>
          <w:tcPr>
            <w:tcW w:w="3403" w:type="dxa"/>
            <w:gridSpan w:val="2"/>
            <w:shd w:val="clear" w:color="auto" w:fill="auto"/>
          </w:tcPr>
          <w:p w14:paraId="50638218" w14:textId="77777777" w:rsidR="00CF3869" w:rsidRPr="00263BC2" w:rsidRDefault="00CF3869" w:rsidP="00CF3869">
            <w:pPr>
              <w:autoSpaceDE w:val="0"/>
              <w:autoSpaceDN w:val="0"/>
              <w:adjustRightInd w:val="0"/>
              <w:ind w:left="18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gridSpan w:val="2"/>
            <w:shd w:val="clear" w:color="auto" w:fill="auto"/>
          </w:tcPr>
          <w:p w14:paraId="1482A7F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28E2C840" w14:textId="77777777" w:rsidTr="00CF3869">
        <w:tc>
          <w:tcPr>
            <w:tcW w:w="3403" w:type="dxa"/>
            <w:gridSpan w:val="2"/>
            <w:shd w:val="clear" w:color="auto" w:fill="auto"/>
          </w:tcPr>
          <w:p w14:paraId="2CBD60D2" w14:textId="77777777" w:rsidR="00CF3869" w:rsidRPr="00263BC2" w:rsidRDefault="00CF3869" w:rsidP="00CF3869">
            <w:pPr>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Zápis:</w:t>
            </w:r>
          </w:p>
        </w:tc>
        <w:tc>
          <w:tcPr>
            <w:tcW w:w="5812" w:type="dxa"/>
            <w:gridSpan w:val="2"/>
            <w:shd w:val="clear" w:color="auto" w:fill="auto"/>
          </w:tcPr>
          <w:p w14:paraId="78383605" w14:textId="77777777" w:rsidR="00CF3869" w:rsidRDefault="00CF3869" w:rsidP="004856CB">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1F7D66F0" w14:textId="25A30503" w:rsidR="00CF3869" w:rsidRPr="00263BC2" w:rsidRDefault="001429D6" w:rsidP="004856CB">
            <w:pPr>
              <w:jc w:val="both"/>
              <w:rPr>
                <w:rFonts w:ascii="Times New Roman" w:hAnsi="Times New Roman"/>
                <w:sz w:val="24"/>
                <w:szCs w:val="24"/>
              </w:rPr>
            </w:pPr>
            <w:r>
              <w:rPr>
                <w:rFonts w:ascii="Times New Roman" w:hAnsi="Times New Roman"/>
                <w:i/>
                <w:iCs/>
                <w:sz w:val="24"/>
                <w:szCs w:val="24"/>
                <w:highlight w:val="yellow"/>
              </w:rPr>
              <w:t>a</w:t>
            </w:r>
            <w:r w:rsidR="00CF3869" w:rsidRPr="007831EF">
              <w:rPr>
                <w:rFonts w:ascii="Times New Roman" w:hAnsi="Times New Roman"/>
                <w:i/>
                <w:iCs/>
                <w:sz w:val="24"/>
                <w:szCs w:val="24"/>
                <w:highlight w:val="yellow"/>
              </w:rPr>
              <w:t>lternatívne</w:t>
            </w:r>
            <w:r w:rsidR="00CF3869">
              <w:rPr>
                <w:rFonts w:ascii="Times New Roman" w:hAnsi="Times New Roman"/>
                <w:sz w:val="24"/>
                <w:szCs w:val="24"/>
              </w:rPr>
              <w:t xml:space="preserve"> </w:t>
            </w:r>
            <w:r w:rsidR="00CF3869" w:rsidRPr="00263BC2">
              <w:rPr>
                <w:rFonts w:ascii="Times New Roman" w:hAnsi="Times New Roman"/>
                <w:sz w:val="24"/>
                <w:szCs w:val="24"/>
              </w:rPr>
              <w:t xml:space="preserve">v Živnostenskom registri Okresného úradu </w:t>
            </w:r>
            <w:r w:rsidR="00CF3869" w:rsidRPr="00263BC2">
              <w:rPr>
                <w:rFonts w:ascii="Times New Roman" w:hAnsi="Times New Roman"/>
                <w:sz w:val="24"/>
                <w:szCs w:val="24"/>
                <w:highlight w:val="yellow"/>
              </w:rPr>
              <w:t>[●]</w:t>
            </w:r>
            <w:r w:rsidR="00CF3869" w:rsidRPr="00263BC2">
              <w:rPr>
                <w:rFonts w:ascii="Times New Roman" w:hAnsi="Times New Roman"/>
                <w:sz w:val="24"/>
                <w:szCs w:val="24"/>
              </w:rPr>
              <w:t xml:space="preserve">, číslo živ. registra: </w:t>
            </w:r>
            <w:r w:rsidR="00CF3869" w:rsidRPr="00263BC2">
              <w:rPr>
                <w:rFonts w:ascii="Times New Roman" w:hAnsi="Times New Roman"/>
                <w:sz w:val="24"/>
                <w:szCs w:val="24"/>
                <w:highlight w:val="yellow"/>
              </w:rPr>
              <w:t>[●]</w:t>
            </w:r>
          </w:p>
        </w:tc>
      </w:tr>
      <w:tr w:rsidR="00CF3869" w:rsidRPr="00263BC2" w14:paraId="37480919" w14:textId="77777777" w:rsidTr="00CF3869">
        <w:tc>
          <w:tcPr>
            <w:tcW w:w="3403" w:type="dxa"/>
            <w:gridSpan w:val="2"/>
            <w:shd w:val="clear" w:color="auto" w:fill="auto"/>
          </w:tcPr>
          <w:p w14:paraId="1F290888"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Kontaktná/oprávnená osoba:</w:t>
            </w:r>
          </w:p>
          <w:p w14:paraId="0439159D"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 xml:space="preserve">Tel. kontakt: </w:t>
            </w:r>
          </w:p>
          <w:p w14:paraId="1CFED119" w14:textId="77777777" w:rsidR="00CF3869" w:rsidRPr="00263BC2" w:rsidRDefault="00CF3869" w:rsidP="00CF3869">
            <w:pPr>
              <w:ind w:left="180"/>
              <w:jc w:val="both"/>
              <w:rPr>
                <w:rFonts w:ascii="Times New Roman" w:hAnsi="Times New Roman"/>
                <w:sz w:val="24"/>
                <w:szCs w:val="24"/>
              </w:rPr>
            </w:pPr>
            <w:r>
              <w:rPr>
                <w:rFonts w:ascii="Times New Roman" w:hAnsi="Times New Roman"/>
                <w:sz w:val="24"/>
                <w:szCs w:val="24"/>
              </w:rPr>
              <w:t xml:space="preserve">E-mail: </w:t>
            </w:r>
          </w:p>
        </w:tc>
        <w:tc>
          <w:tcPr>
            <w:tcW w:w="5812" w:type="dxa"/>
            <w:gridSpan w:val="2"/>
            <w:shd w:val="clear" w:color="auto" w:fill="auto"/>
          </w:tcPr>
          <w:p w14:paraId="76A8743C"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7801EEE"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09411AEA"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5541D3" w:rsidRPr="005541D3">
        <w:rPr>
          <w:b/>
          <w:bCs/>
          <w:szCs w:val="24"/>
          <w:highlight w:val="yellow"/>
        </w:rPr>
        <w:t>[●]</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998037" w:rsidR="00137243" w:rsidRDefault="005541D3" w:rsidP="00E81326">
      <w:pPr>
        <w:pStyle w:val="CTL"/>
        <w:numPr>
          <w:ilvl w:val="1"/>
          <w:numId w:val="16"/>
        </w:numPr>
        <w:spacing w:after="0"/>
        <w:ind w:left="567" w:hanging="567"/>
        <w:rPr>
          <w:szCs w:val="24"/>
        </w:rPr>
      </w:pPr>
      <w:r>
        <w:rPr>
          <w:szCs w:val="24"/>
        </w:rPr>
        <w:t>Výsledkom verejnej súťaže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63DE3FE8" w:rsidR="00A815E7" w:rsidRPr="00C44FC6" w:rsidRDefault="003E2A16" w:rsidP="003E2A16">
            <w:pPr>
              <w:tabs>
                <w:tab w:val="left" w:pos="2835"/>
              </w:tabs>
              <w:spacing w:before="60" w:after="40"/>
              <w:jc w:val="both"/>
              <w:rPr>
                <w:rFonts w:ascii="Times New Roman" w:hAnsi="Times New Roman"/>
                <w:i/>
                <w:iCs/>
                <w:sz w:val="24"/>
                <w:szCs w:val="24"/>
              </w:rPr>
            </w:pPr>
            <w:r w:rsidRPr="003E2A16">
              <w:rPr>
                <w:rFonts w:ascii="Times New Roman" w:hAnsi="Times New Roman"/>
                <w:iCs/>
                <w:sz w:val="24"/>
                <w:szCs w:val="24"/>
                <w:u w:val="single"/>
              </w:rPr>
              <w:t>Nákup prístrojov a detekčných trubičiek na testovanie kvality dýchacieho vzduchu v tlakových zariadeniach</w:t>
            </w:r>
            <w:r w:rsidRPr="003E2A16" w:rsidDel="00FC75EB">
              <w:rPr>
                <w:rFonts w:ascii="Times New Roman" w:hAnsi="Times New Roman"/>
                <w:b/>
                <w:i/>
                <w:iCs/>
                <w:sz w:val="24"/>
                <w:szCs w:val="24"/>
              </w:rPr>
              <w:t xml:space="preserve"> </w:t>
            </w:r>
            <w:r w:rsidR="00CF3869" w:rsidRPr="003E2A16">
              <w:rPr>
                <w:rFonts w:ascii="Times New Roman" w:hAnsi="Times New Roman"/>
                <w:sz w:val="24"/>
                <w:szCs w:val="24"/>
              </w:rPr>
              <w:t>tak</w:t>
            </w:r>
            <w:r w:rsidR="001429D6" w:rsidRPr="003E2A16">
              <w:rPr>
                <w:rFonts w:ascii="Times New Roman" w:hAnsi="Times New Roman"/>
                <w:sz w:val="24"/>
                <w:szCs w:val="24"/>
              </w:rPr>
              <w:t>,</w:t>
            </w:r>
            <w:r w:rsidR="00CF3869" w:rsidRPr="003E2A16">
              <w:rPr>
                <w:rFonts w:ascii="Times New Roman" w:hAnsi="Times New Roman"/>
                <w:sz w:val="24"/>
                <w:szCs w:val="24"/>
              </w:rPr>
              <w:t xml:space="preserve"> ako</w:t>
            </w:r>
            <w:r w:rsidR="00CF3869" w:rsidRPr="00034180">
              <w:rPr>
                <w:rFonts w:ascii="Times New Roman" w:hAnsi="Times New Roman"/>
                <w:sz w:val="24"/>
                <w:szCs w:val="24"/>
              </w:rPr>
              <w:t xml:space="preserve"> je  Predmet  prevodu špecifikovaný v Prílohe č. 1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55A224" w14:textId="29395159" w:rsidR="00A815E7" w:rsidRPr="003E2A16" w:rsidRDefault="00A815E7" w:rsidP="00CE1F3C">
            <w:pPr>
              <w:tabs>
                <w:tab w:val="left" w:pos="2835"/>
              </w:tabs>
              <w:spacing w:before="40" w:after="40"/>
              <w:jc w:val="both"/>
              <w:rPr>
                <w:rFonts w:ascii="Times New Roman" w:hAnsi="Times New Roman"/>
                <w:iCs/>
                <w:sz w:val="24"/>
                <w:szCs w:val="24"/>
              </w:rPr>
            </w:pPr>
            <w:r w:rsidRPr="003E2A16">
              <w:rPr>
                <w:rFonts w:ascii="Times New Roman" w:hAnsi="Times New Roman"/>
                <w:iCs/>
                <w:sz w:val="24"/>
                <w:szCs w:val="24"/>
              </w:rPr>
              <w:t>Návod na použitie</w:t>
            </w:r>
            <w:r w:rsidR="003E2A16" w:rsidRPr="003E2A16">
              <w:rPr>
                <w:rFonts w:ascii="Times New Roman" w:hAnsi="Times New Roman"/>
                <w:iCs/>
                <w:sz w:val="24"/>
                <w:szCs w:val="24"/>
              </w:rPr>
              <w:t>,</w:t>
            </w:r>
            <w:r w:rsidR="003E2A16" w:rsidRPr="003E2A16">
              <w:rPr>
                <w:rFonts w:ascii="Arial Narrow" w:hAnsi="Arial Narrow"/>
                <w:lang w:eastAsia="sk-SK"/>
              </w:rPr>
              <w:t xml:space="preserve"> </w:t>
            </w:r>
            <w:r w:rsidR="003E2A16" w:rsidRPr="003E2A16">
              <w:rPr>
                <w:rFonts w:ascii="Times New Roman" w:hAnsi="Times New Roman"/>
                <w:iCs/>
                <w:sz w:val="24"/>
                <w:szCs w:val="24"/>
              </w:rPr>
              <w:t>údržbu, servis</w:t>
            </w:r>
            <w:r w:rsidRPr="003E2A16">
              <w:rPr>
                <w:rFonts w:ascii="Times New Roman" w:hAnsi="Times New Roman"/>
                <w:iCs/>
                <w:sz w:val="24"/>
                <w:szCs w:val="24"/>
              </w:rPr>
              <w:t xml:space="preserve"> Predmetu prevodu.</w:t>
            </w:r>
          </w:p>
          <w:p w14:paraId="40171E54" w14:textId="570AA8B6" w:rsidR="00524315" w:rsidRPr="00524315" w:rsidRDefault="00524315" w:rsidP="00CE1F3C">
            <w:pPr>
              <w:tabs>
                <w:tab w:val="left" w:pos="2835"/>
              </w:tabs>
              <w:spacing w:before="40" w:after="40"/>
              <w:jc w:val="both"/>
              <w:rPr>
                <w:rFonts w:ascii="Times New Roman" w:hAnsi="Times New Roman"/>
                <w:sz w:val="24"/>
                <w:szCs w:val="24"/>
                <w:highlight w:val="yellow"/>
              </w:rPr>
            </w:pPr>
          </w:p>
        </w:tc>
      </w:tr>
      <w:tr w:rsidR="00A815E7" w:rsidRPr="00263BC2" w14:paraId="388F1799" w14:textId="77777777" w:rsidTr="00CE1F3C">
        <w:tc>
          <w:tcPr>
            <w:tcW w:w="1417"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83" w:type="pct"/>
          </w:tcPr>
          <w:p w14:paraId="05DADE4E" w14:textId="01047A03" w:rsidR="00A815E7" w:rsidRPr="003A23B4" w:rsidRDefault="008B3F46" w:rsidP="00CE1F3C">
            <w:pPr>
              <w:tabs>
                <w:tab w:val="left" w:pos="2835"/>
              </w:tabs>
              <w:spacing w:before="40" w:after="40"/>
              <w:jc w:val="both"/>
              <w:rPr>
                <w:rFonts w:ascii="Times New Roman" w:hAnsi="Times New Roman"/>
                <w:sz w:val="24"/>
                <w:szCs w:val="24"/>
              </w:rPr>
            </w:pPr>
            <w:r w:rsidRPr="003A23B4">
              <w:rPr>
                <w:rFonts w:ascii="Times New Roman" w:hAnsi="Times New Roman"/>
                <w:sz w:val="24"/>
                <w:szCs w:val="24"/>
              </w:rPr>
              <w:t>Kupujúci je povinný v lehote piatich (5) pracovných dní písomne potvrdiť prijatie Objednávky v súlade s čl. IV Dohody.</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39DEA1C9" w:rsidR="00B16F5C" w:rsidRPr="003A23B4" w:rsidRDefault="008B3F46" w:rsidP="003E2A16">
            <w:pPr>
              <w:tabs>
                <w:tab w:val="left" w:pos="2835"/>
              </w:tabs>
              <w:spacing w:before="40" w:after="40"/>
              <w:jc w:val="both"/>
              <w:rPr>
                <w:rFonts w:ascii="Times New Roman" w:hAnsi="Times New Roman"/>
                <w:sz w:val="24"/>
                <w:szCs w:val="24"/>
              </w:rPr>
            </w:pPr>
            <w:r w:rsidRPr="003A23B4">
              <w:rPr>
                <w:rFonts w:ascii="Times New Roman" w:hAnsi="Times New Roman"/>
                <w:sz w:val="24"/>
                <w:szCs w:val="24"/>
              </w:rPr>
              <w:t xml:space="preserve">Predávajúci je povinný odovzdať Predmet prevodu Kupujúcemu do </w:t>
            </w:r>
            <w:r w:rsidR="003E2A16" w:rsidRPr="003A23B4">
              <w:rPr>
                <w:rFonts w:ascii="Times New Roman" w:hAnsi="Times New Roman"/>
                <w:sz w:val="24"/>
                <w:szCs w:val="24"/>
              </w:rPr>
              <w:t>6 mesiacov</w:t>
            </w:r>
            <w:r w:rsidRPr="003A23B4">
              <w:rPr>
                <w:rFonts w:ascii="Times New Roman" w:hAnsi="Times New Roman"/>
                <w:sz w:val="24"/>
                <w:szCs w:val="24"/>
              </w:rPr>
              <w:t xml:space="preserve"> odo dňa doručenia Objednávky (a v prípade požiadavky Kupujúceho ho v danej lehote aj nainštalovať).</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83" w:type="pct"/>
          </w:tcPr>
          <w:p w14:paraId="7D2DED11" w14:textId="6AF32141" w:rsidR="00524315" w:rsidRPr="003E2A16" w:rsidRDefault="00947F3D" w:rsidP="00CE1F3C">
            <w:pPr>
              <w:tabs>
                <w:tab w:val="left" w:pos="2835"/>
              </w:tabs>
              <w:spacing w:before="40" w:after="40"/>
              <w:jc w:val="both"/>
              <w:rPr>
                <w:rFonts w:ascii="Times New Roman" w:hAnsi="Times New Roman"/>
                <w:i/>
                <w:iCs/>
                <w:sz w:val="24"/>
                <w:szCs w:val="24"/>
              </w:rPr>
            </w:pPr>
            <w:r w:rsidRPr="00947F3D">
              <w:rPr>
                <w:rFonts w:ascii="Times New Roman" w:hAnsi="Times New Roman"/>
                <w:sz w:val="24"/>
                <w:szCs w:val="24"/>
              </w:rPr>
              <w:t xml:space="preserve">Miesto dodania predmetu zákazky </w:t>
            </w:r>
            <w:r w:rsidR="00CF3869" w:rsidRPr="00034180">
              <w:rPr>
                <w:rFonts w:ascii="Times New Roman" w:hAnsi="Times New Roman"/>
                <w:sz w:val="24"/>
                <w:szCs w:val="24"/>
              </w:rPr>
              <w:t xml:space="preserve">je </w:t>
            </w:r>
            <w:r w:rsidRPr="00947F3D">
              <w:rPr>
                <w:rFonts w:ascii="Times New Roman" w:hAnsi="Times New Roman"/>
                <w:sz w:val="24"/>
                <w:szCs w:val="24"/>
              </w:rPr>
              <w:t>Záchranná brigáda HaZZ v Žiline, Bánovská cesta 8111, 010 01  Žilina</w:t>
            </w:r>
            <w:r w:rsidR="003E2A16" w:rsidRPr="003E2A16">
              <w:rPr>
                <w:rFonts w:ascii="Times New Roman" w:hAnsi="Times New Roman"/>
                <w:sz w:val="24"/>
                <w:szCs w:val="24"/>
              </w:rPr>
              <w:t xml:space="preserve"> </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39BE19FB" w14:textId="018B618E" w:rsidR="00A815E7" w:rsidRPr="00263BC2" w:rsidRDefault="00CF3869" w:rsidP="003E2A16">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Predávajúci je povinný uskutočniť</w:t>
            </w:r>
            <w:r w:rsidR="003E2A16">
              <w:rPr>
                <w:rFonts w:ascii="Times New Roman" w:hAnsi="Times New Roman"/>
                <w:sz w:val="24"/>
                <w:szCs w:val="24"/>
              </w:rPr>
              <w:t xml:space="preserve"> </w:t>
            </w:r>
            <w:r w:rsidR="003E2A16" w:rsidRPr="003E2A16">
              <w:rPr>
                <w:rFonts w:ascii="Times New Roman" w:hAnsi="Times New Roman"/>
                <w:iCs/>
                <w:sz w:val="24"/>
                <w:szCs w:val="24"/>
              </w:rPr>
              <w:t xml:space="preserve">kvalifikované zaškolenie obsluhy a údržby, zamerané na používanie prístrojov </w:t>
            </w:r>
            <w:r w:rsidR="003E2A16" w:rsidRPr="003E2A16">
              <w:rPr>
                <w:rFonts w:ascii="Times New Roman" w:hAnsi="Times New Roman"/>
                <w:iCs/>
                <w:sz w:val="24"/>
                <w:szCs w:val="24"/>
              </w:rPr>
              <w:br/>
              <w:t xml:space="preserve">a detekčných trubičiek na testovanie kvality dýchacieho vzduchu v tlakových zariadeniach v rozsahu </w:t>
            </w:r>
            <w:r w:rsidR="00947F3D" w:rsidRPr="00947F3D">
              <w:rPr>
                <w:rFonts w:ascii="Times New Roman" w:hAnsi="Times New Roman"/>
                <w:iCs/>
                <w:sz w:val="24"/>
                <w:szCs w:val="24"/>
              </w:rPr>
              <w:t>minimálne 2 hodiny pre 20 osôb na každé krajské riaditeľstvo HaZZ a to v Bratislave, v Trnave, v Trenčíne, v Nitre, v Žiline, v Banskej Bystrici, v Prešove a v Košiciach s vystavením osvedčenia o odbornom zaškolení</w:t>
            </w:r>
            <w:r w:rsidR="003E2A16">
              <w:rPr>
                <w:rFonts w:ascii="Times New Roman" w:hAnsi="Times New Roman"/>
                <w:iCs/>
                <w:sz w:val="24"/>
                <w:szCs w:val="24"/>
              </w:rPr>
              <w:t>.</w:t>
            </w:r>
            <w:r w:rsidRPr="00034180">
              <w:rPr>
                <w:rFonts w:ascii="Times New Roman" w:hAnsi="Times New Roman"/>
                <w:sz w:val="24"/>
                <w:szCs w:val="24"/>
              </w:rPr>
              <w:t xml:space="preserve"> </w:t>
            </w: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lastRenderedPageBreak/>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83" w:type="pct"/>
          </w:tcPr>
          <w:p w14:paraId="5BD32316" w14:textId="7FB900FB"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Celková kúpna cena za Predmet prevodu objednaný na základe jednej Objednávky bez DPH; táto cena je rozhodujúca pre výpočet zmluvných pokút  podľa tejto Dohody</w:t>
            </w:r>
            <w:r>
              <w:rPr>
                <w:rFonts w:ascii="Times New Roman" w:hAnsi="Times New Roman"/>
                <w:sz w:val="24"/>
                <w:szCs w:val="24"/>
              </w:rPr>
              <w:t>.</w:t>
            </w:r>
          </w:p>
        </w:tc>
      </w:tr>
      <w:tr w:rsidR="00A815E7" w:rsidRPr="00263BC2" w14:paraId="63A01B16" w14:textId="77777777" w:rsidTr="00CE1F3C">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4B2849B2" w14:textId="1F48694F" w:rsidR="00A815E7" w:rsidRPr="00BE752F" w:rsidRDefault="00BE752F" w:rsidP="00CE1F3C">
            <w:pPr>
              <w:tabs>
                <w:tab w:val="left" w:pos="2835"/>
              </w:tabs>
              <w:spacing w:before="40" w:after="40"/>
              <w:jc w:val="both"/>
              <w:rPr>
                <w:rFonts w:ascii="Times New Roman" w:hAnsi="Times New Roman"/>
                <w:sz w:val="24"/>
                <w:szCs w:val="24"/>
              </w:rPr>
            </w:pPr>
            <w:r w:rsidRPr="00BE752F">
              <w:rPr>
                <w:rFonts w:ascii="Times New Roman" w:hAnsi="Times New Roman"/>
                <w:sz w:val="24"/>
                <w:szCs w:val="24"/>
              </w:rPr>
              <w:t>Tridsať</w:t>
            </w:r>
            <w:r w:rsidR="008B3F46" w:rsidRPr="00BE752F">
              <w:rPr>
                <w:rFonts w:ascii="Times New Roman" w:hAnsi="Times New Roman"/>
                <w:sz w:val="24"/>
                <w:szCs w:val="24"/>
              </w:rPr>
              <w:t xml:space="preserve"> (</w:t>
            </w:r>
            <w:r w:rsidRPr="00BE752F">
              <w:rPr>
                <w:rFonts w:ascii="Times New Roman" w:hAnsi="Times New Roman"/>
                <w:sz w:val="24"/>
                <w:szCs w:val="24"/>
              </w:rPr>
              <w:t>30</w:t>
            </w:r>
            <w:r w:rsidR="008B3F46" w:rsidRPr="00BE752F">
              <w:rPr>
                <w:rFonts w:ascii="Times New Roman" w:hAnsi="Times New Roman"/>
                <w:sz w:val="24"/>
                <w:szCs w:val="24"/>
              </w:rPr>
              <w:t>)</w:t>
            </w:r>
            <w:r w:rsidR="001B1075" w:rsidRPr="00BE752F">
              <w:rPr>
                <w:rFonts w:ascii="Times New Roman" w:hAnsi="Times New Roman"/>
                <w:sz w:val="24"/>
                <w:szCs w:val="24"/>
              </w:rPr>
              <w:t xml:space="preserve"> dní odo dňa doručenia faktúry Kupujúcemu.</w:t>
            </w:r>
          </w:p>
        </w:tc>
      </w:tr>
      <w:tr w:rsidR="00A815E7" w:rsidRPr="00263BC2" w14:paraId="05ED96C5" w14:textId="77777777" w:rsidTr="00CE1F3C">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069E674D" w14:textId="24447660" w:rsidR="00A815E7" w:rsidRPr="00BE752F" w:rsidRDefault="008B3F46" w:rsidP="00CE1F3C">
            <w:pPr>
              <w:tabs>
                <w:tab w:val="left" w:pos="2835"/>
              </w:tabs>
              <w:spacing w:before="40" w:after="40"/>
              <w:jc w:val="both"/>
              <w:rPr>
                <w:rFonts w:ascii="Times New Roman" w:hAnsi="Times New Roman"/>
                <w:sz w:val="24"/>
                <w:szCs w:val="24"/>
              </w:rPr>
            </w:pPr>
            <w:r w:rsidRPr="00BE752F">
              <w:rPr>
                <w:rFonts w:ascii="Times New Roman" w:hAnsi="Times New Roman"/>
                <w:sz w:val="24"/>
                <w:szCs w:val="24"/>
              </w:rPr>
              <w:t>Dvadsaťštyri (</w:t>
            </w:r>
            <w:r w:rsidR="00A815E7" w:rsidRPr="00BE752F">
              <w:rPr>
                <w:rFonts w:ascii="Times New Roman" w:hAnsi="Times New Roman"/>
                <w:sz w:val="24"/>
                <w:szCs w:val="24"/>
              </w:rPr>
              <w:t>24</w:t>
            </w:r>
            <w:r w:rsidRPr="00BE752F">
              <w:rPr>
                <w:rFonts w:ascii="Times New Roman" w:hAnsi="Times New Roman"/>
                <w:sz w:val="24"/>
                <w:szCs w:val="24"/>
              </w:rPr>
              <w:t>)</w:t>
            </w:r>
            <w:r w:rsidR="00A815E7" w:rsidRPr="00BE752F">
              <w:rPr>
                <w:rFonts w:ascii="Times New Roman" w:hAnsi="Times New Roman"/>
                <w:sz w:val="24"/>
                <w:szCs w:val="24"/>
              </w:rPr>
              <w:t xml:space="preserve"> mesiacov </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BE752F" w:rsidRDefault="008B3F46" w:rsidP="00CE1F3C">
            <w:pPr>
              <w:tabs>
                <w:tab w:val="left" w:pos="2835"/>
              </w:tabs>
              <w:spacing w:before="40" w:after="40"/>
              <w:jc w:val="both"/>
              <w:rPr>
                <w:rFonts w:ascii="Times New Roman" w:hAnsi="Times New Roman"/>
                <w:sz w:val="24"/>
                <w:szCs w:val="24"/>
              </w:rPr>
            </w:pPr>
            <w:r w:rsidRPr="00BE752F">
              <w:rPr>
                <w:rFonts w:ascii="Times New Roman" w:hAnsi="Times New Roman"/>
                <w:sz w:val="24"/>
                <w:szCs w:val="24"/>
              </w:rPr>
              <w:t>Tridsať (</w:t>
            </w:r>
            <w:r w:rsidR="00A815E7" w:rsidRPr="00BE752F">
              <w:rPr>
                <w:rFonts w:ascii="Times New Roman" w:hAnsi="Times New Roman"/>
                <w:sz w:val="24"/>
                <w:szCs w:val="24"/>
              </w:rPr>
              <w:t>30</w:t>
            </w:r>
            <w:r w:rsidRPr="00BE752F">
              <w:rPr>
                <w:rFonts w:ascii="Times New Roman" w:hAnsi="Times New Roman"/>
                <w:sz w:val="24"/>
                <w:szCs w:val="24"/>
              </w:rPr>
              <w:t>)</w:t>
            </w:r>
            <w:r w:rsidR="00A815E7" w:rsidRPr="00BE752F">
              <w:rPr>
                <w:rFonts w:ascii="Times New Roman" w:hAnsi="Times New Roman"/>
                <w:sz w:val="24"/>
                <w:szCs w:val="24"/>
              </w:rPr>
              <w:t xml:space="preserve"> dní odo dňa uplatnenia reklamácie</w:t>
            </w:r>
            <w:r w:rsidR="00CE1F3C" w:rsidRPr="00BE752F">
              <w:rPr>
                <w:rFonts w:ascii="Times New Roman" w:hAnsi="Times New Roman"/>
                <w:sz w:val="24"/>
                <w:szCs w:val="24"/>
              </w:rPr>
              <w:t xml:space="preserve"> Kupujúcim</w:t>
            </w:r>
            <w:r w:rsidR="00524315" w:rsidRPr="00BE752F">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39670C55" w:rsidR="00945C5C" w:rsidRPr="00BE752F" w:rsidRDefault="00BE752F" w:rsidP="00BE752F">
            <w:pPr>
              <w:pStyle w:val="Textkomentra"/>
              <w:spacing w:before="40" w:after="40"/>
              <w:jc w:val="both"/>
              <w:rPr>
                <w:rFonts w:ascii="Times New Roman" w:hAnsi="Times New Roman"/>
                <w:sz w:val="24"/>
                <w:szCs w:val="24"/>
                <w:lang w:eastAsia="en-US"/>
              </w:rPr>
            </w:pPr>
            <w:r w:rsidRPr="00BE752F">
              <w:rPr>
                <w:rFonts w:ascii="Times New Roman" w:hAnsi="Times New Roman"/>
                <w:sz w:val="24"/>
                <w:szCs w:val="24"/>
              </w:rPr>
              <w:t xml:space="preserve">Dvadsaťštyri </w:t>
            </w:r>
            <w:r w:rsidR="00CE1F3C" w:rsidRPr="00BE752F">
              <w:rPr>
                <w:rFonts w:ascii="Times New Roman" w:hAnsi="Times New Roman"/>
                <w:sz w:val="24"/>
                <w:szCs w:val="24"/>
              </w:rPr>
              <w:t>(</w:t>
            </w:r>
            <w:r w:rsidRPr="00BE752F">
              <w:rPr>
                <w:rFonts w:ascii="Times New Roman" w:hAnsi="Times New Roman"/>
                <w:sz w:val="24"/>
                <w:szCs w:val="24"/>
              </w:rPr>
              <w:t>24</w:t>
            </w:r>
            <w:r w:rsidR="00CE1F3C" w:rsidRPr="00BE752F">
              <w:rPr>
                <w:rFonts w:ascii="Times New Roman" w:hAnsi="Times New Roman"/>
                <w:sz w:val="24"/>
                <w:szCs w:val="24"/>
              </w:rPr>
              <w:t>)</w:t>
            </w:r>
            <w:r w:rsidR="004C43C9" w:rsidRPr="00BE752F">
              <w:rPr>
                <w:rFonts w:ascii="Times New Roman" w:hAnsi="Times New Roman"/>
                <w:sz w:val="24"/>
                <w:szCs w:val="24"/>
              </w:rPr>
              <w:t xml:space="preserve"> </w:t>
            </w:r>
            <w:r w:rsidR="00945C5C" w:rsidRPr="00BE752F">
              <w:rPr>
                <w:rFonts w:ascii="Times New Roman" w:hAnsi="Times New Roman"/>
                <w:sz w:val="24"/>
                <w:szCs w:val="24"/>
                <w:lang w:eastAsia="en-US"/>
              </w:rPr>
              <w:t>mesiacov odo dňa nadobudnutia jej účinnosti alebo do</w:t>
            </w:r>
            <w:r w:rsidR="004C43C9" w:rsidRPr="00BE752F">
              <w:rPr>
                <w:rFonts w:ascii="Times New Roman" w:hAnsi="Times New Roman"/>
                <w:sz w:val="24"/>
                <w:szCs w:val="24"/>
                <w:lang w:eastAsia="en-US"/>
              </w:rPr>
              <w:t xml:space="preserve"> </w:t>
            </w:r>
            <w:r w:rsidR="00945C5C" w:rsidRPr="00BE752F">
              <w:rPr>
                <w:rFonts w:ascii="Times New Roman" w:hAnsi="Times New Roman"/>
                <w:sz w:val="24"/>
                <w:szCs w:val="24"/>
                <w:lang w:eastAsia="en-US"/>
              </w:rPr>
              <w:t>vyčerpania</w:t>
            </w:r>
            <w:r w:rsidR="00945C5C" w:rsidRPr="00CE1F3C">
              <w:rPr>
                <w:rFonts w:ascii="Times New Roman" w:hAnsi="Times New Roman"/>
                <w:sz w:val="24"/>
                <w:szCs w:val="24"/>
                <w:lang w:eastAsia="en-US"/>
              </w:rPr>
              <w:t xml:space="preserve">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205238CE"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CE1F3C">
            <w:pPr>
              <w:pStyle w:val="Textkomentra"/>
              <w:numPr>
                <w:ilvl w:val="0"/>
                <w:numId w:val="46"/>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1473DDB" w14:textId="30EF7495"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4E4C2F47"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xml:space="preserve">., bod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Kupujúci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2D7715BF"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w:t>
      </w:r>
      <w:r w:rsidRPr="00BC3E2B">
        <w:rPr>
          <w:rFonts w:ascii="Times New Roman" w:hAnsi="Times New Roman"/>
          <w:sz w:val="24"/>
          <w:szCs w:val="24"/>
          <w:lang w:val="sk-SK" w:eastAsia="en-US"/>
        </w:rPr>
        <w:lastRenderedPageBreak/>
        <w:t>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p>
    <w:p w14:paraId="3B9F8AFD" w14:textId="398ECF0A" w:rsidR="001B1075" w:rsidRDefault="00904FDF" w:rsidP="00E81326">
      <w:pPr>
        <w:pStyle w:val="Odsekzoznamu"/>
        <w:numPr>
          <w:ilvl w:val="1"/>
          <w:numId w:val="2"/>
        </w:numPr>
        <w:tabs>
          <w:tab w:val="clear" w:pos="2160"/>
          <w:tab w:val="clear" w:pos="2880"/>
          <w:tab w:val="clear" w:pos="4500"/>
        </w:tabs>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676878AB" w:rsidR="001B7ACC" w:rsidRPr="001B1075" w:rsidRDefault="001B7ACC" w:rsidP="00E81326">
      <w:pPr>
        <w:pStyle w:val="Odsekzoznamu"/>
        <w:numPr>
          <w:ilvl w:val="0"/>
          <w:numId w:val="32"/>
        </w:numPr>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 sa dohodli, že v prípade nevyčerpania Maximálnej ceny Dohody uvedenej v čl. II, bode 2.3 počas doby trvania Dohody, sú Účastníci dohody oprávnení predĺžiť dobu trvania Dohody o dvanásť (12) mesiacov, a to aj opakovane. Zmenu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337C077E"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p>
    <w:p w14:paraId="18C99E63" w14:textId="560D3546"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scanov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01458A84" w:rsidR="003A1414" w:rsidRPr="002A34C2" w:rsidRDefault="00904FDF"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lastRenderedPageBreak/>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2406DDB8" w:rsidR="00363E6B" w:rsidRPr="002A34C2" w:rsidRDefault="00904FDF" w:rsidP="001B1075">
      <w:pPr>
        <w:pStyle w:val="Odsekzoznamu"/>
        <w:numPr>
          <w:ilvl w:val="1"/>
          <w:numId w:val="24"/>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 prekladom do slovenského jazyka, za ktorého správnosť zodpovedá Predávajúci.</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7A39F2A0"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F063CBD" w:rsidR="00BA2865"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piatich (5)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0C3ACCAB" w:rsidR="002E088D" w:rsidRDefault="0084379F"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8CA75AB" w:rsidR="0084379F" w:rsidRDefault="0084379F" w:rsidP="00E81326">
      <w:pPr>
        <w:pStyle w:val="CTL"/>
        <w:numPr>
          <w:ilvl w:val="1"/>
          <w:numId w:val="24"/>
        </w:numPr>
        <w:tabs>
          <w:tab w:val="left" w:pos="567"/>
        </w:tabs>
        <w:spacing w:after="0"/>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lastRenderedPageBreak/>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5A60044D" w:rsidR="00FC2417" w:rsidRDefault="0084379F" w:rsidP="00F44C03">
      <w:pPr>
        <w:pStyle w:val="CTL"/>
        <w:numPr>
          <w:ilvl w:val="1"/>
          <w:numId w:val="25"/>
        </w:numPr>
        <w:tabs>
          <w:tab w:val="left" w:pos="567"/>
        </w:tabs>
        <w:ind w:left="567" w:hanging="567"/>
        <w:rPr>
          <w:szCs w:val="24"/>
        </w:rPr>
      </w:pPr>
      <w:bookmarkStart w:id="7"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xml:space="preserve">. Cena </w:t>
      </w:r>
      <w:r w:rsidRPr="0024104D">
        <w:rPr>
          <w:szCs w:val="24"/>
        </w:rPr>
        <w:t xml:space="preserve"> je </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7"/>
      <w:r w:rsidR="00FC2417" w:rsidRPr="0024104D">
        <w:rPr>
          <w:szCs w:val="24"/>
        </w:rPr>
        <w:t>.</w:t>
      </w:r>
    </w:p>
    <w:p w14:paraId="271138F7" w14:textId="65BC1922" w:rsidR="00BE2F23" w:rsidRPr="007831EF" w:rsidRDefault="0084379F"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ene bude pripočítaná daň z pridanej hodnoty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49ED7B9" w:rsidR="00CD5945" w:rsidRDefault="0084379F"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6E383C">
      <w:pPr>
        <w:pStyle w:val="CTL"/>
        <w:numPr>
          <w:ilvl w:val="1"/>
          <w:numId w:val="25"/>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E81326">
      <w:pPr>
        <w:pStyle w:val="CTL"/>
        <w:numPr>
          <w:ilvl w:val="1"/>
          <w:numId w:val="25"/>
        </w:numPr>
        <w:tabs>
          <w:tab w:val="left" w:pos="567"/>
        </w:tabs>
        <w:spacing w:after="0"/>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7FB0B1CF" w:rsidR="00FC2417" w:rsidRPr="00263BC2" w:rsidRDefault="0084379F" w:rsidP="00F44C03">
      <w:pPr>
        <w:pStyle w:val="CTL"/>
        <w:numPr>
          <w:ilvl w:val="1"/>
          <w:numId w:val="26"/>
        </w:numPr>
        <w:ind w:left="567" w:hanging="567"/>
        <w:rPr>
          <w:szCs w:val="24"/>
        </w:rPr>
      </w:pPr>
      <w:r>
        <w:rPr>
          <w:szCs w:val="24"/>
        </w:rPr>
        <w:t xml:space="preserve">Predávajúci poskytuje na jednotlivé súčasti Predmetu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64B1D0A5" w:rsidR="00451FEC" w:rsidRDefault="0084379F"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 Predávajúci povinnosť vady odstrániť na svoje náklady</w:t>
      </w:r>
      <w:r w:rsidR="00451FEC">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lastRenderedPageBreak/>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vadného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vadného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E81326">
      <w:pPr>
        <w:pStyle w:val="CTL"/>
        <w:numPr>
          <w:ilvl w:val="1"/>
          <w:numId w:val="26"/>
        </w:numPr>
        <w:tabs>
          <w:tab w:val="left" w:pos="567"/>
        </w:tabs>
        <w:spacing w:after="0"/>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6C5857">
      <w:pPr>
        <w:pStyle w:val="CTL"/>
        <w:numPr>
          <w:ilvl w:val="0"/>
          <w:numId w:val="43"/>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5F1064D" w:rsidR="0084379F" w:rsidRDefault="00FC2417" w:rsidP="006C5857">
      <w:pPr>
        <w:pStyle w:val="CTL"/>
        <w:numPr>
          <w:ilvl w:val="0"/>
          <w:numId w:val="43"/>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5A41A9">
        <w:t xml:space="preserve"> a v súlade s príslušnými právnymi predpismi. </w:t>
      </w:r>
    </w:p>
    <w:p w14:paraId="320EA2C9" w14:textId="19D35921" w:rsidR="006C5857" w:rsidRDefault="00451FEC" w:rsidP="0084379F">
      <w:pPr>
        <w:pStyle w:val="CTL"/>
        <w:numPr>
          <w:ilvl w:val="0"/>
          <w:numId w:val="43"/>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rsidP="006C5857">
      <w:pPr>
        <w:pStyle w:val="CTL"/>
        <w:numPr>
          <w:ilvl w:val="0"/>
          <w:numId w:val="43"/>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65B81ED" w:rsidR="00451FEC" w:rsidRDefault="006C5857" w:rsidP="006C5857">
      <w:pPr>
        <w:pStyle w:val="CTL"/>
        <w:numPr>
          <w:ilvl w:val="0"/>
          <w:numId w:val="43"/>
        </w:numPr>
        <w:ind w:left="567" w:hanging="567"/>
      </w:pPr>
      <w:r>
        <w:t>T</w:t>
      </w:r>
      <w:r w:rsidR="00451FEC">
        <w:t xml:space="preserve">ento bod sa uplatňuje </w:t>
      </w:r>
      <w:r w:rsidR="0084379F">
        <w:t>najmä</w:t>
      </w:r>
      <w:r w:rsidR="00451FEC">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w:t>
      </w:r>
      <w:r w:rsidR="0084379F">
        <w:t>e</w:t>
      </w:r>
      <w:r w:rsidR="00451FEC">
        <w:t xml:space="preserve"> ich neoprávneného použitia alebo zadržanie sa vzťahuje režim upravený príslušnými právnymi predpismi Európskej únie, ako aj </w:t>
      </w:r>
      <w:r w:rsidR="0084379F">
        <w:t>osobitnými</w:t>
      </w:r>
      <w:r w:rsidR="00451FEC">
        <w:t xml:space="preserve"> predpis</w:t>
      </w:r>
      <w:r w:rsidR="00053949">
        <w:t>mi</w:t>
      </w:r>
      <w:r w:rsidR="00451FEC">
        <w:t xml:space="preserve"> z oblasti rozpočtových pravidiel, finančnej kontroly a osobitne poskytovania podpory v rámci príslušného operačného programu.</w:t>
      </w:r>
    </w:p>
    <w:p w14:paraId="3CD74674" w14:textId="194EB6AD" w:rsidR="00451FEC" w:rsidRDefault="006C5857" w:rsidP="660DF95B">
      <w:pPr>
        <w:pStyle w:val="CTL"/>
        <w:numPr>
          <w:ilvl w:val="0"/>
          <w:numId w:val="0"/>
        </w:numPr>
        <w:ind w:left="540"/>
      </w:pPr>
      <w:r>
        <w:t xml:space="preserve">Účastníci dohody </w:t>
      </w:r>
      <w:r w:rsidR="00451FEC">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660DF95B">
      <w:pPr>
        <w:pStyle w:val="CTL"/>
        <w:numPr>
          <w:ilvl w:val="0"/>
          <w:numId w:val="0"/>
        </w:numPr>
        <w:spacing w:after="0"/>
        <w:ind w:left="540"/>
      </w:pPr>
      <w:r>
        <w:t xml:space="preserve">Predávajúci je povinný strpieť výkon kontroly, auditu či overovania oprávnenými </w:t>
      </w:r>
      <w:r>
        <w:lastRenderedPageBreak/>
        <w:t>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789D0EA3" w14:textId="352E9F5B" w:rsidR="00425A9C" w:rsidRDefault="00451FEC" w:rsidP="00E315E3">
      <w:pPr>
        <w:pStyle w:val="CTL"/>
        <w:numPr>
          <w:ilvl w:val="0"/>
          <w:numId w:val="43"/>
        </w:numPr>
        <w:ind w:left="567" w:hanging="567"/>
      </w:pPr>
      <w: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2FCF789" w14:textId="59E8A750" w:rsidR="00451FEC" w:rsidRPr="00E81326" w:rsidRDefault="00425A9C" w:rsidP="00E81326">
      <w:pPr>
        <w:pStyle w:val="CTL"/>
        <w:numPr>
          <w:ilvl w:val="0"/>
          <w:numId w:val="43"/>
        </w:numPr>
        <w:spacing w:after="240"/>
        <w:ind w:left="567" w:hanging="567"/>
      </w:pPr>
      <w:r>
        <w:t xml:space="preserve">Účastníci dohody  sa dohodli, že v prípade  ak  </w:t>
      </w:r>
      <w:r w:rsidR="00053949">
        <w:t xml:space="preserve">podmienky Verejného obstarávania alebo </w:t>
      </w:r>
      <w:r>
        <w:t>osobitné  právne predpisy vyžadujú  pre predaj</w:t>
      </w:r>
      <w:r w:rsidR="00042C33">
        <w:t xml:space="preserve"> alebo</w:t>
      </w:r>
      <w:r>
        <w:t xml:space="preserve"> nakladanie s Predmetom prevodu  osobitné povolenia</w:t>
      </w:r>
      <w:r w:rsidR="00042C33">
        <w:t>,</w:t>
      </w:r>
      <w:r>
        <w:t xml:space="preserve"> resp. certifikáty, Predávajúci je povinn</w:t>
      </w:r>
      <w:r w:rsidR="00E315E3">
        <w:t>ý</w:t>
      </w:r>
      <w:r>
        <w:t xml:space="preserve"> disponovať takýmito povoleniami</w:t>
      </w:r>
      <w:r w:rsidR="00E315E3">
        <w:t>,</w:t>
      </w:r>
      <w:r>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t>,</w:t>
      </w:r>
      <w:r>
        <w:t xml:space="preserve"> resp. certifikát.</w:t>
      </w:r>
    </w:p>
    <w:p w14:paraId="47A4F8D8" w14:textId="77777777" w:rsidR="003A23B4" w:rsidRDefault="003A23B4" w:rsidP="007831EF">
      <w:pPr>
        <w:pStyle w:val="CTLhead"/>
        <w:rPr>
          <w:sz w:val="24"/>
          <w:szCs w:val="24"/>
        </w:rPr>
      </w:pPr>
    </w:p>
    <w:p w14:paraId="6F0FADA4" w14:textId="77777777" w:rsidR="003A23B4" w:rsidRDefault="003A23B4" w:rsidP="007831EF">
      <w:pPr>
        <w:pStyle w:val="CTLhead"/>
        <w:rPr>
          <w:sz w:val="24"/>
          <w:szCs w:val="24"/>
        </w:rPr>
      </w:pPr>
    </w:p>
    <w:p w14:paraId="04B9BE15" w14:textId="7688897E" w:rsidR="00FC2417" w:rsidRPr="00263BC2" w:rsidRDefault="00216EB8" w:rsidP="007831EF">
      <w:pPr>
        <w:pStyle w:val="CTLhead"/>
        <w:rPr>
          <w:sz w:val="24"/>
          <w:szCs w:val="24"/>
        </w:rPr>
      </w:pPr>
      <w:r w:rsidRPr="00263BC2">
        <w:rPr>
          <w:sz w:val="24"/>
          <w:szCs w:val="24"/>
        </w:rPr>
        <w:lastRenderedPageBreak/>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t>zmluvné</w:t>
      </w:r>
      <w:r w:rsidRPr="00263BC2">
        <w:rPr>
          <w:szCs w:val="24"/>
        </w:rPr>
        <w:t xml:space="preserve"> pokuty a úroky z omeškania:</w:t>
      </w:r>
    </w:p>
    <w:p w14:paraId="68F44CC9" w14:textId="18AB5F18" w:rsidR="00584DC5" w:rsidRPr="00263BC2" w:rsidRDefault="00FC2417" w:rsidP="00042C33">
      <w:pPr>
        <w:pStyle w:val="CTL"/>
        <w:numPr>
          <w:ilvl w:val="0"/>
          <w:numId w:val="45"/>
        </w:numPr>
        <w:spacing w:after="0"/>
        <w:ind w:left="1134" w:hanging="283"/>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p>
    <w:p w14:paraId="4A34D1DF" w14:textId="08A384BC" w:rsidR="00584DC5" w:rsidRPr="00263BC2" w:rsidRDefault="004F1B98" w:rsidP="00042C33">
      <w:pPr>
        <w:pStyle w:val="CTL"/>
        <w:numPr>
          <w:ilvl w:val="0"/>
          <w:numId w:val="45"/>
        </w:numPr>
        <w:spacing w:after="0"/>
        <w:ind w:left="1134" w:hanging="283"/>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r w:rsidR="00CE13E9">
        <w:t xml:space="preserve">vadného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7C995103" w:rsidR="00584DC5" w:rsidRPr="00263BC2" w:rsidRDefault="00FC2417" w:rsidP="00042C33">
      <w:pPr>
        <w:pStyle w:val="CTL"/>
        <w:numPr>
          <w:ilvl w:val="0"/>
          <w:numId w:val="45"/>
        </w:numPr>
        <w:tabs>
          <w:tab w:val="left" w:pos="708"/>
        </w:tabs>
        <w:spacing w:after="0"/>
        <w:ind w:left="1134" w:hanging="283"/>
      </w:pPr>
      <w:r>
        <w:t xml:space="preserve">za omeškanie </w:t>
      </w:r>
      <w:r w:rsidR="00EB3353">
        <w:t>K</w:t>
      </w:r>
      <w:r>
        <w:t xml:space="preserve">upujúceho so </w:t>
      </w:r>
      <w:r w:rsidR="00042C33">
        <w:t xml:space="preserve">zaplatením </w:t>
      </w:r>
      <w:r w:rsidR="00367B8D">
        <w:t>C</w:t>
      </w:r>
      <w:r>
        <w:t xml:space="preserve">eny </w:t>
      </w:r>
      <w:r w:rsidR="00042C33">
        <w:t>si</w:t>
      </w:r>
      <w:r>
        <w:t xml:space="preserve"> </w:t>
      </w:r>
      <w:r w:rsidR="00EB3353">
        <w:t>P</w:t>
      </w:r>
      <w:r>
        <w:t>redávajúci uplatn</w:t>
      </w:r>
      <w:r w:rsidR="00042C33">
        <w:t>í</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25AD3B6D" w:rsidR="00584DC5" w:rsidRPr="00263BC2" w:rsidRDefault="00503DEC" w:rsidP="00042C33">
      <w:pPr>
        <w:pStyle w:val="CTL"/>
        <w:numPr>
          <w:ilvl w:val="0"/>
          <w:numId w:val="45"/>
        </w:numPr>
        <w:spacing w:after="0"/>
        <w:ind w:left="1134" w:hanging="283"/>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681C0D4D" w14:textId="77777777" w:rsidR="00042C33" w:rsidRDefault="00F42A78" w:rsidP="000B4084">
      <w:pPr>
        <w:pStyle w:val="CTL"/>
        <w:numPr>
          <w:ilvl w:val="0"/>
          <w:numId w:val="45"/>
        </w:numPr>
        <w:tabs>
          <w:tab w:val="left" w:pos="720"/>
        </w:tabs>
        <w:spacing w:after="0"/>
        <w:ind w:left="1134" w:hanging="283"/>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00042C33">
        <w:rPr>
          <w:szCs w:val="24"/>
        </w:rPr>
        <w:t xml:space="preserve">, </w:t>
      </w:r>
    </w:p>
    <w:p w14:paraId="74D15797" w14:textId="01AAEB17" w:rsidR="00517ECA" w:rsidRDefault="00042C33" w:rsidP="00042C33">
      <w:pPr>
        <w:pStyle w:val="CTL"/>
        <w:numPr>
          <w:ilvl w:val="0"/>
          <w:numId w:val="45"/>
        </w:numPr>
        <w:tabs>
          <w:tab w:val="left" w:pos="720"/>
        </w:tabs>
        <w:ind w:left="1134" w:hanging="283"/>
        <w:rPr>
          <w:szCs w:val="24"/>
        </w:rPr>
      </w:pPr>
      <w:r>
        <w:rPr>
          <w:szCs w:val="24"/>
        </w:rPr>
        <w:t xml:space="preserve">v prípade porušenia povinností Poskytovateľa uvedených v čl. IV, bode 4.14 a v čl. VII, bode 7.7 Dohody si Kupujúci uplatní voči Predávajúcemu zmluvnú pokutu </w:t>
      </w:r>
      <w:r w:rsidR="000B4084">
        <w:rPr>
          <w:szCs w:val="24"/>
        </w:rPr>
        <w:t>vo výške 30% z Ceny za každé jednotlivé porušenie, čím nie je dotknutý nárok Kupujúceho na náhradu škody, ktorá mu takýmto porušením vznikla.</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E81326">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3A23B4">
      <w:pPr>
        <w:widowControl w:val="0"/>
        <w:tabs>
          <w:tab w:val="clear" w:pos="2160"/>
          <w:tab w:val="clear" w:pos="2880"/>
          <w:tab w:val="clear" w:pos="4500"/>
        </w:tabs>
        <w:autoSpaceDE w:val="0"/>
        <w:autoSpaceDN w:val="0"/>
        <w:adjustRightInd w:val="0"/>
        <w:spacing w:after="6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2A1762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w:t>
      </w:r>
      <w:r w:rsidR="00586C68">
        <w:rPr>
          <w:szCs w:val="24"/>
        </w:rPr>
        <w:t>7</w:t>
      </w:r>
      <w:r w:rsidR="00367B8D">
        <w:rPr>
          <w:szCs w:val="24"/>
        </w:rPr>
        <w:t xml:space="preserve"> a 9.</w:t>
      </w:r>
      <w:r w:rsidR="00586C68">
        <w:rPr>
          <w:szCs w:val="24"/>
        </w:rPr>
        <w:t>8</w:t>
      </w:r>
      <w:r w:rsidR="00BA0F35">
        <w:rPr>
          <w:szCs w:val="24"/>
        </w:rPr>
        <w:t xml:space="preserve"> tohto článku</w:t>
      </w:r>
      <w:r w:rsidR="00367B8D">
        <w:rPr>
          <w:szCs w:val="24"/>
        </w:rPr>
        <w:t xml:space="preserve"> Dohody</w:t>
      </w:r>
      <w:r>
        <w:rPr>
          <w:szCs w:val="24"/>
        </w:rPr>
        <w:t>.</w:t>
      </w:r>
    </w:p>
    <w:p w14:paraId="702832C0" w14:textId="1BA94D49" w:rsidR="00FC2417" w:rsidRPr="00C437A5" w:rsidRDefault="000C4C2F" w:rsidP="003A23B4">
      <w:pPr>
        <w:pStyle w:val="Odsekzoznamu"/>
        <w:numPr>
          <w:ilvl w:val="1"/>
          <w:numId w:val="28"/>
        </w:numPr>
        <w:tabs>
          <w:tab w:val="clear" w:pos="2160"/>
          <w:tab w:val="clear" w:pos="2880"/>
          <w:tab w:val="clear" w:pos="4500"/>
        </w:tabs>
        <w:spacing w:after="100"/>
        <w:ind w:left="567" w:hanging="567"/>
        <w:jc w:val="both"/>
        <w:rPr>
          <w:rFonts w:ascii="Times New Roman" w:hAnsi="Times New Roman"/>
          <w:sz w:val="24"/>
          <w:szCs w:val="24"/>
        </w:rPr>
      </w:pPr>
      <w:r w:rsidRPr="00C437A5">
        <w:rPr>
          <w:rFonts w:ascii="Times New Roman" w:hAnsi="Times New Roman"/>
          <w:sz w:val="24"/>
          <w:szCs w:val="24"/>
        </w:rPr>
        <w:lastRenderedPageBreak/>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w:t>
      </w:r>
      <w:r w:rsidR="000B4084">
        <w:rPr>
          <w:rFonts w:ascii="Times New Roman" w:hAnsi="Times New Roman"/>
          <w:sz w:val="24"/>
          <w:szCs w:val="24"/>
        </w:rPr>
        <w:t>v súlade s čl. X, bodom 10.4 Dohody</w:t>
      </w:r>
      <w:r w:rsidR="00FC2417" w:rsidRPr="00C437A5">
        <w:rPr>
          <w:rFonts w:ascii="Times New Roman" w:hAnsi="Times New Roman"/>
          <w:sz w:val="24"/>
          <w:szCs w:val="24"/>
        </w:rPr>
        <w:t>.</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4959E3">
      <w:pPr>
        <w:pStyle w:val="CTL"/>
        <w:numPr>
          <w:ilvl w:val="0"/>
          <w:numId w:val="20"/>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79646B42"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0B4084">
        <w:rPr>
          <w:szCs w:val="24"/>
        </w:rPr>
        <w:t xml:space="preserve"> alebo v rozsahu a kvalite</w:t>
      </w:r>
      <w:r>
        <w:rPr>
          <w:szCs w:val="24"/>
        </w:rPr>
        <w:t xml:space="preserve">, ktoré sú v rozpore </w:t>
      </w:r>
      <w:r w:rsidR="00367B8D">
        <w:rPr>
          <w:szCs w:val="24"/>
        </w:rPr>
        <w:t>s Prílohou č. 1 a touto Dohodou</w:t>
      </w:r>
      <w:r w:rsidR="00367B8D" w:rsidRPr="00263BC2">
        <w:rPr>
          <w:szCs w:val="24"/>
        </w:rPr>
        <w:t>,</w:t>
      </w:r>
      <w:r w:rsidR="00367B8D">
        <w:rPr>
          <w:szCs w:val="24"/>
        </w:rPr>
        <w:t xml:space="preserve"> alebo</w:t>
      </w:r>
    </w:p>
    <w:p w14:paraId="411C8208" w14:textId="43F4A7DA" w:rsidR="00730F63" w:rsidRPr="00367B8D" w:rsidRDefault="000C4C2F" w:rsidP="00E315E3">
      <w:pPr>
        <w:pStyle w:val="CTL"/>
        <w:numPr>
          <w:ilvl w:val="0"/>
          <w:numId w:val="45"/>
        </w:numPr>
        <w:tabs>
          <w:tab w:val="left" w:pos="1276"/>
        </w:tabs>
        <w:spacing w:after="0"/>
        <w:ind w:left="1134" w:hanging="283"/>
      </w:pPr>
      <w:r>
        <w:t>K</w:t>
      </w:r>
      <w:r w:rsidR="00FC2417">
        <w:t>upujúci je v omeškaní so zaplatením faktúry o viac ako</w:t>
      </w:r>
      <w:r w:rsidR="00E31A2F">
        <w:t xml:space="preserve"> šesťdesiat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7AAF7208" w14:textId="508ADDFE" w:rsidR="00730F63" w:rsidRPr="00367B8D" w:rsidRDefault="000C4C2F" w:rsidP="003A23B4">
      <w:pPr>
        <w:pStyle w:val="CTL"/>
        <w:numPr>
          <w:ilvl w:val="0"/>
          <w:numId w:val="45"/>
        </w:numPr>
        <w:tabs>
          <w:tab w:val="left" w:pos="1276"/>
        </w:tabs>
        <w:spacing w:after="100"/>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626FDD42" w:rsidR="00567BEE" w:rsidRPr="00C437A5" w:rsidRDefault="008E14B5" w:rsidP="003A23B4">
      <w:pPr>
        <w:pStyle w:val="CTL"/>
        <w:numPr>
          <w:ilvl w:val="0"/>
          <w:numId w:val="21"/>
        </w:numPr>
        <w:tabs>
          <w:tab w:val="left" w:pos="1276"/>
        </w:tabs>
        <w:spacing w:after="100"/>
        <w:ind w:left="1135" w:hanging="284"/>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3D091A77"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 xml:space="preserve">Kupujúci je oprávnený odstúpiť od tejto Dohody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 alebo</w:t>
      </w:r>
    </w:p>
    <w:p w14:paraId="3A031E0A" w14:textId="3B2F5F8F" w:rsidR="00763D6D" w:rsidRPr="00763D6D" w:rsidRDefault="00763D6D" w:rsidP="003A23B4">
      <w:pPr>
        <w:pStyle w:val="Odsekzoznamu"/>
        <w:numPr>
          <w:ilvl w:val="0"/>
          <w:numId w:val="37"/>
        </w:numPr>
        <w:spacing w:after="100"/>
        <w:ind w:left="1135" w:hanging="284"/>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220A6299" w14:textId="53F154FF" w:rsidR="00586C68" w:rsidRPr="00586C68" w:rsidRDefault="00586C68" w:rsidP="003A23B4">
      <w:pPr>
        <w:pStyle w:val="Odsekzoznamu"/>
        <w:numPr>
          <w:ilvl w:val="1"/>
          <w:numId w:val="28"/>
        </w:numPr>
        <w:spacing w:after="100"/>
        <w:ind w:left="567" w:hanging="567"/>
        <w:jc w:val="both"/>
        <w:rPr>
          <w:rFonts w:ascii="Times New Roman" w:hAnsi="Times New Roman"/>
          <w:sz w:val="24"/>
          <w:szCs w:val="24"/>
        </w:rPr>
      </w:pPr>
      <w:r>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5500E5B0" w14:textId="0D73798A" w:rsidR="00367B8D" w:rsidRPr="00763D6D" w:rsidRDefault="00367B8D" w:rsidP="003A23B4">
      <w:pPr>
        <w:pStyle w:val="Odsekzoznamu"/>
        <w:numPr>
          <w:ilvl w:val="1"/>
          <w:numId w:val="28"/>
        </w:numPr>
        <w:spacing w:after="10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7D99CEDD" w:rsidR="00763D6D" w:rsidRDefault="00763D6D" w:rsidP="00E315E3">
      <w:pPr>
        <w:pStyle w:val="Odsekzoznamu"/>
        <w:numPr>
          <w:ilvl w:val="0"/>
          <w:numId w:val="39"/>
        </w:numPr>
        <w:ind w:left="1134" w:hanging="283"/>
        <w:jc w:val="both"/>
        <w:rPr>
          <w:rFonts w:ascii="Times New Roman" w:hAnsi="Times New Roman"/>
          <w:sz w:val="24"/>
          <w:szCs w:val="24"/>
        </w:rPr>
      </w:pPr>
      <w:r w:rsidRPr="00763D6D">
        <w:rPr>
          <w:rFonts w:ascii="Times New Roman" w:hAnsi="Times New Roman"/>
          <w:sz w:val="24"/>
          <w:szCs w:val="24"/>
          <w:lang w:eastAsia="en-US"/>
        </w:rPr>
        <w:lastRenderedPageBreak/>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3" w:name="_Hlk194586678"/>
      <w:r w:rsidRPr="00763D6D">
        <w:rPr>
          <w:rFonts w:ascii="Times New Roman" w:hAnsi="Times New Roman"/>
          <w:sz w:val="24"/>
          <w:szCs w:val="24"/>
          <w:lang w:eastAsia="en-US"/>
        </w:rPr>
        <w:t>druhému Účastníkovi dohody</w:t>
      </w:r>
      <w:bookmarkEnd w:id="13"/>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4" w:name="_Hlk192084822"/>
      <w:r>
        <w:rPr>
          <w:rFonts w:ascii="Times New Roman" w:hAnsi="Times New Roman"/>
          <w:sz w:val="24"/>
          <w:szCs w:val="24"/>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Cenu vo výške obstarávacej ceny vadného Predmetu prevodu</w:t>
      </w:r>
      <w:bookmarkEnd w:id="14"/>
      <w:r>
        <w:rPr>
          <w:rFonts w:ascii="Times New Roman" w:hAnsi="Times New Roman"/>
          <w:sz w:val="24"/>
          <w:szCs w:val="24"/>
          <w:lang w:val="sk-SK" w:eastAsia="en-US"/>
        </w:rPr>
        <w:t>.</w:t>
      </w:r>
    </w:p>
    <w:p w14:paraId="7DC3DBB8" w14:textId="77777777" w:rsidR="00763D6D" w:rsidRDefault="00763D6D" w:rsidP="000B4084">
      <w:pPr>
        <w:pStyle w:val="Odsekzoznamu"/>
        <w:numPr>
          <w:ilvl w:val="1"/>
          <w:numId w:val="28"/>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22FCA5B" w14:textId="12F972FF" w:rsidR="00FC2417" w:rsidRDefault="00763D6D" w:rsidP="003A23B4">
      <w:pPr>
        <w:pStyle w:val="Odsekzoznamu"/>
        <w:numPr>
          <w:ilvl w:val="1"/>
          <w:numId w:val="28"/>
        </w:numPr>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06BD5F81" w14:textId="77777777" w:rsidR="003A23B4" w:rsidRPr="003A23B4" w:rsidRDefault="003A23B4" w:rsidP="003A23B4">
      <w:pPr>
        <w:pStyle w:val="Odsekzoznamu"/>
        <w:ind w:left="567"/>
        <w:jc w:val="both"/>
        <w:rPr>
          <w:sz w:val="24"/>
          <w:szCs w:val="24"/>
        </w:rPr>
      </w:pP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3A23B4">
      <w:pPr>
        <w:widowControl w:val="0"/>
        <w:tabs>
          <w:tab w:val="clear" w:pos="2160"/>
          <w:tab w:val="clear" w:pos="2880"/>
          <w:tab w:val="clear" w:pos="4500"/>
        </w:tabs>
        <w:autoSpaceDE w:val="0"/>
        <w:autoSpaceDN w:val="0"/>
        <w:adjustRightInd w:val="0"/>
        <w:spacing w:after="10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5"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5"/>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6" w:name="_Hlk201756179"/>
      <w:bookmarkStart w:id="17" w:name="_Hlk201834049"/>
      <w:r w:rsidR="00763D6D">
        <w:rPr>
          <w:szCs w:val="24"/>
        </w:rPr>
        <w:t>(v listinnej alebo elektronickej podobe)</w:t>
      </w:r>
      <w:bookmarkEnd w:id="16"/>
      <w:r w:rsidRPr="00263BC2">
        <w:rPr>
          <w:szCs w:val="24"/>
        </w:rPr>
        <w:t>,</w:t>
      </w:r>
      <w:r w:rsidR="00763D6D">
        <w:rPr>
          <w:szCs w:val="24"/>
        </w:rPr>
        <w:t xml:space="preserve"> </w:t>
      </w:r>
      <w:bookmarkEnd w:id="17"/>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3A23B4">
      <w:pPr>
        <w:pStyle w:val="CTL"/>
        <w:numPr>
          <w:ilvl w:val="0"/>
          <w:numId w:val="0"/>
        </w:numPr>
        <w:spacing w:after="100"/>
        <w:ind w:left="567"/>
        <w:rPr>
          <w:szCs w:val="24"/>
        </w:rPr>
      </w:pPr>
      <w:bookmarkStart w:id="18" w:name="_Hlk201834058"/>
      <w:r>
        <w:rPr>
          <w:szCs w:val="24"/>
          <w:lang w:val="x-none" w:eastAsia="cs-CZ"/>
        </w:rPr>
        <w:t>Pre vylúčenie pochybností sa za písomnú podobu/formu komunikácie podľa tejto Dohody považuje aj elektronická komunikácia vo forme bežného e-mailu, spolu s jeho prílohami, vrátane scanov.</w:t>
      </w:r>
    </w:p>
    <w:bookmarkEnd w:id="18"/>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3A23B4">
      <w:pPr>
        <w:pStyle w:val="CTL"/>
        <w:numPr>
          <w:ilvl w:val="0"/>
          <w:numId w:val="23"/>
        </w:numPr>
        <w:tabs>
          <w:tab w:val="left" w:pos="1134"/>
        </w:tabs>
        <w:spacing w:after="100"/>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3A23B4">
      <w:pPr>
        <w:pStyle w:val="Odsekzoznamu"/>
        <w:numPr>
          <w:ilvl w:val="0"/>
          <w:numId w:val="34"/>
        </w:numPr>
        <w:tabs>
          <w:tab w:val="clear" w:pos="2160"/>
          <w:tab w:val="clear" w:pos="2880"/>
          <w:tab w:val="clear" w:pos="4500"/>
        </w:tabs>
        <w:spacing w:after="10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w:t>
      </w:r>
      <w:r w:rsidR="00315A99" w:rsidRPr="00210845">
        <w:rPr>
          <w:rFonts w:ascii="Times New Roman" w:hAnsi="Times New Roman"/>
          <w:sz w:val="24"/>
          <w:szCs w:val="24"/>
        </w:rPr>
        <w:lastRenderedPageBreak/>
        <w:t xml:space="preserve">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77777777" w:rsidR="00007A19" w:rsidRPr="00007A19" w:rsidRDefault="00007A1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 </w:t>
      </w:r>
    </w:p>
    <w:p w14:paraId="42C52A79" w14:textId="061C55E9" w:rsidR="00315A99" w:rsidRPr="00315A99" w:rsidRDefault="00315A99" w:rsidP="003A23B4">
      <w:pPr>
        <w:pStyle w:val="Odsekzoznamu"/>
        <w:numPr>
          <w:ilvl w:val="0"/>
          <w:numId w:val="34"/>
        </w:numPr>
        <w:tabs>
          <w:tab w:val="clear" w:pos="2160"/>
          <w:tab w:val="clear" w:pos="2880"/>
          <w:tab w:val="clear" w:pos="4500"/>
        </w:tabs>
        <w:spacing w:after="8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7AD0FC08" w14:textId="3A885298" w:rsidR="00BE752F" w:rsidRPr="00E81326" w:rsidRDefault="00315A99" w:rsidP="00E81326">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FF443B6" w14:textId="710833AB" w:rsidR="00315A99" w:rsidRPr="00E81326" w:rsidRDefault="008E20E5" w:rsidP="003A23B4">
      <w:pPr>
        <w:pStyle w:val="Odsekzoznamu"/>
        <w:tabs>
          <w:tab w:val="clear" w:pos="2160"/>
          <w:tab w:val="clear" w:pos="2880"/>
          <w:tab w:val="clear" w:pos="4500"/>
        </w:tabs>
        <w:spacing w:after="120"/>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7974ECD0" w14:textId="7458518B" w:rsidR="003A23B4" w:rsidRPr="003A23B4" w:rsidRDefault="00D30D7A" w:rsidP="003A23B4">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bookmarkStart w:id="19" w:name="_Hlk180573564"/>
    </w:p>
    <w:p w14:paraId="1E5B5DC3" w14:textId="0E29ECFA"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bookmarkStart w:id="20" w:name="_GoBack"/>
      <w:bookmarkEnd w:id="20"/>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9"/>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7885D553" w:rsidR="004518D2" w:rsidRDefault="004518D2">
      <w:pPr>
        <w:tabs>
          <w:tab w:val="clear" w:pos="2160"/>
          <w:tab w:val="clear" w:pos="2880"/>
          <w:tab w:val="clear" w:pos="4500"/>
        </w:tabs>
        <w:rPr>
          <w:rFonts w:ascii="Times New Roman" w:hAnsi="Times New Roman"/>
          <w:sz w:val="24"/>
          <w:szCs w:val="24"/>
        </w:rPr>
      </w:pPr>
    </w:p>
    <w:sectPr w:rsidR="004518D2" w:rsidSect="00315A99">
      <w:footerReference w:type="default" r:id="rId13"/>
      <w:headerReference w:type="first" r:id="rId14"/>
      <w:footerReference w:type="first" r:id="rId15"/>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E826C" w14:textId="77777777" w:rsidR="00DA579D" w:rsidRDefault="00DA579D" w:rsidP="00983CE3">
      <w:r>
        <w:separator/>
      </w:r>
    </w:p>
  </w:endnote>
  <w:endnote w:type="continuationSeparator" w:id="0">
    <w:p w14:paraId="663BFD6F" w14:textId="77777777" w:rsidR="00DA579D" w:rsidRDefault="00DA579D" w:rsidP="00983CE3">
      <w:r>
        <w:continuationSeparator/>
      </w:r>
    </w:p>
  </w:endnote>
  <w:endnote w:type="continuationNotice" w:id="1">
    <w:p w14:paraId="2A442934" w14:textId="77777777" w:rsidR="00DA579D" w:rsidRDefault="00DA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85315"/>
      <w:docPartObj>
        <w:docPartGallery w:val="Page Numbers (Bottom of Page)"/>
        <w:docPartUnique/>
      </w:docPartObj>
    </w:sdtPr>
    <w:sdtEndPr/>
    <w:sdtContent>
      <w:p w14:paraId="707C9FDB" w14:textId="798C84E7" w:rsidR="00315A99" w:rsidRDefault="00315A99">
        <w:pPr>
          <w:pStyle w:val="Pta"/>
          <w:jc w:val="center"/>
        </w:pPr>
        <w:r w:rsidRPr="003A23B4">
          <w:rPr>
            <w:rFonts w:ascii="Times New Roman" w:hAnsi="Times New Roman"/>
            <w:sz w:val="18"/>
            <w:szCs w:val="18"/>
          </w:rPr>
          <w:fldChar w:fldCharType="begin"/>
        </w:r>
        <w:r w:rsidRPr="003A23B4">
          <w:rPr>
            <w:rFonts w:ascii="Times New Roman" w:hAnsi="Times New Roman"/>
            <w:sz w:val="18"/>
            <w:szCs w:val="18"/>
          </w:rPr>
          <w:instrText>PAGE   \* MERGEFORMAT</w:instrText>
        </w:r>
        <w:r w:rsidRPr="003A23B4">
          <w:rPr>
            <w:rFonts w:ascii="Times New Roman" w:hAnsi="Times New Roman"/>
            <w:sz w:val="18"/>
            <w:szCs w:val="18"/>
          </w:rPr>
          <w:fldChar w:fldCharType="separate"/>
        </w:r>
        <w:r w:rsidR="003A23B4">
          <w:rPr>
            <w:rFonts w:ascii="Times New Roman" w:hAnsi="Times New Roman"/>
            <w:noProof/>
            <w:sz w:val="18"/>
            <w:szCs w:val="18"/>
          </w:rPr>
          <w:t>14</w:t>
        </w:r>
        <w:r w:rsidRPr="003A23B4">
          <w:rPr>
            <w:rFonts w:ascii="Times New Roman" w:hAnsi="Times New Roman"/>
            <w:sz w:val="18"/>
            <w:szCs w:val="18"/>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45232294"/>
      <w:docPartObj>
        <w:docPartGallery w:val="Page Numbers (Bottom of Page)"/>
        <w:docPartUnique/>
      </w:docPartObj>
    </w:sdtPr>
    <w:sdtEndPr/>
    <w:sdtContent>
      <w:p w14:paraId="39807A78" w14:textId="3620BE68"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3A23B4">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24431" w14:textId="77777777" w:rsidR="00DA579D" w:rsidRDefault="00DA579D" w:rsidP="00983CE3">
      <w:r>
        <w:separator/>
      </w:r>
    </w:p>
  </w:footnote>
  <w:footnote w:type="continuationSeparator" w:id="0">
    <w:p w14:paraId="26A9D5AA" w14:textId="77777777" w:rsidR="00DA579D" w:rsidRDefault="00DA579D" w:rsidP="00983CE3">
      <w:r>
        <w:continuationSeparator/>
      </w:r>
    </w:p>
  </w:footnote>
  <w:footnote w:type="continuationNotice" w:id="1">
    <w:p w14:paraId="4DDEE714" w14:textId="77777777" w:rsidR="00DA579D" w:rsidRDefault="00DA5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9D03" w14:textId="22BF27B8" w:rsidR="00813EB7" w:rsidRPr="00813EB7" w:rsidRDefault="00813EB7">
    <w:pPr>
      <w:pStyle w:val="Hlavika"/>
      <w:rPr>
        <w:rFonts w:ascii="Times New Roman" w:hAnsi="Times New Roman"/>
        <w:sz w:val="17"/>
        <w:szCs w:val="17"/>
      </w:rPr>
    </w:pPr>
    <w:r>
      <w:tab/>
      <w:t xml:space="preserve">                                                                                                                    </w:t>
    </w:r>
    <w:r w:rsidRPr="00813EB7">
      <w:rPr>
        <w:rFonts w:ascii="Times New Roman" w:hAnsi="Times New Roman"/>
        <w:sz w:val="17"/>
        <w:szCs w:val="17"/>
      </w:rPr>
      <w:t>Príloha č. 3 – 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8000D"/>
    <w:multiLevelType w:val="hybridMultilevel"/>
    <w:tmpl w:val="4ECEB11A"/>
    <w:lvl w:ilvl="0" w:tplc="4C6A0292">
      <w:start w:val="1"/>
      <w:numFmt w:val="decimal"/>
      <w:lvlText w:val="7.%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E02EAB"/>
    <w:multiLevelType w:val="hybridMultilevel"/>
    <w:tmpl w:val="4812500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8"/>
    <w:lvlOverride w:ilvl="0">
      <w:startOverride w:val="1"/>
    </w:lvlOverride>
  </w:num>
  <w:num w:numId="14">
    <w:abstractNumId w:val="26"/>
  </w:num>
  <w:num w:numId="15">
    <w:abstractNumId w:val="34"/>
  </w:num>
  <w:num w:numId="16">
    <w:abstractNumId w:val="18"/>
  </w:num>
  <w:num w:numId="17">
    <w:abstractNumId w:val="21"/>
  </w:num>
  <w:num w:numId="18">
    <w:abstractNumId w:val="33"/>
  </w:num>
  <w:num w:numId="19">
    <w:abstractNumId w:val="44"/>
  </w:num>
  <w:num w:numId="20">
    <w:abstractNumId w:val="11"/>
  </w:num>
  <w:num w:numId="21">
    <w:abstractNumId w:val="16"/>
  </w:num>
  <w:num w:numId="22">
    <w:abstractNumId w:val="37"/>
  </w:num>
  <w:num w:numId="23">
    <w:abstractNumId w:val="24"/>
  </w:num>
  <w:num w:numId="24">
    <w:abstractNumId w:val="25"/>
  </w:num>
  <w:num w:numId="25">
    <w:abstractNumId w:val="15"/>
  </w:num>
  <w:num w:numId="26">
    <w:abstractNumId w:val="27"/>
  </w:num>
  <w:num w:numId="27">
    <w:abstractNumId w:val="46"/>
  </w:num>
  <w:num w:numId="28">
    <w:abstractNumId w:val="36"/>
  </w:num>
  <w:num w:numId="29">
    <w:abstractNumId w:val="41"/>
  </w:num>
  <w:num w:numId="30">
    <w:abstractNumId w:val="23"/>
  </w:num>
  <w:num w:numId="31">
    <w:abstractNumId w:val="32"/>
  </w:num>
  <w:num w:numId="32">
    <w:abstractNumId w:val="45"/>
  </w:num>
  <w:num w:numId="33">
    <w:abstractNumId w:val="13"/>
  </w:num>
  <w:num w:numId="34">
    <w:abstractNumId w:val="19"/>
  </w:num>
  <w:num w:numId="35">
    <w:abstractNumId w:val="14"/>
  </w:num>
  <w:num w:numId="36">
    <w:abstractNumId w:val="47"/>
  </w:num>
  <w:num w:numId="37">
    <w:abstractNumId w:val="30"/>
  </w:num>
  <w:num w:numId="38">
    <w:abstractNumId w:val="38"/>
  </w:num>
  <w:num w:numId="39">
    <w:abstractNumId w:val="31"/>
  </w:num>
  <w:num w:numId="40">
    <w:abstractNumId w:val="43"/>
  </w:num>
  <w:num w:numId="41">
    <w:abstractNumId w:val="35"/>
  </w:num>
  <w:num w:numId="42">
    <w:abstractNumId w:val="28"/>
  </w:num>
  <w:num w:numId="43">
    <w:abstractNumId w:val="40"/>
  </w:num>
  <w:num w:numId="44">
    <w:abstractNumId w:val="12"/>
  </w:num>
  <w:num w:numId="45">
    <w:abstractNumId w:val="29"/>
  </w:num>
  <w:num w:numId="46">
    <w:abstractNumId w:val="39"/>
  </w:num>
  <w:num w:numId="47">
    <w:abstractNumId w:val="17"/>
  </w:num>
  <w:num w:numId="48">
    <w:abstractNumId w:val="20"/>
  </w:num>
  <w:num w:numId="4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4F60"/>
    <w:rsid w:val="000173AD"/>
    <w:rsid w:val="00022909"/>
    <w:rsid w:val="0002635E"/>
    <w:rsid w:val="000264F5"/>
    <w:rsid w:val="000307FC"/>
    <w:rsid w:val="000342FD"/>
    <w:rsid w:val="00034F53"/>
    <w:rsid w:val="000371AC"/>
    <w:rsid w:val="00042578"/>
    <w:rsid w:val="00042C33"/>
    <w:rsid w:val="00044113"/>
    <w:rsid w:val="00044C1D"/>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3F75"/>
    <w:rsid w:val="000D434D"/>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145DC"/>
    <w:rsid w:val="0012034B"/>
    <w:rsid w:val="00121519"/>
    <w:rsid w:val="00121AAA"/>
    <w:rsid w:val="00122EBB"/>
    <w:rsid w:val="00130A77"/>
    <w:rsid w:val="00131C7B"/>
    <w:rsid w:val="00133C3F"/>
    <w:rsid w:val="00137243"/>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B7ACC"/>
    <w:rsid w:val="001C1564"/>
    <w:rsid w:val="001C7204"/>
    <w:rsid w:val="001D0C05"/>
    <w:rsid w:val="001D67E7"/>
    <w:rsid w:val="001E174B"/>
    <w:rsid w:val="001F026E"/>
    <w:rsid w:val="001F4EE1"/>
    <w:rsid w:val="00202370"/>
    <w:rsid w:val="00202661"/>
    <w:rsid w:val="002036A5"/>
    <w:rsid w:val="0021612E"/>
    <w:rsid w:val="00216D53"/>
    <w:rsid w:val="00216EB8"/>
    <w:rsid w:val="00217C5B"/>
    <w:rsid w:val="00223693"/>
    <w:rsid w:val="00223AF0"/>
    <w:rsid w:val="00224AC0"/>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C77B6"/>
    <w:rsid w:val="002D54D6"/>
    <w:rsid w:val="002D5DEA"/>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23B4"/>
    <w:rsid w:val="003A644D"/>
    <w:rsid w:val="003A64D0"/>
    <w:rsid w:val="003A6CB1"/>
    <w:rsid w:val="003A7A24"/>
    <w:rsid w:val="003B06AC"/>
    <w:rsid w:val="003B3DFB"/>
    <w:rsid w:val="003C1A95"/>
    <w:rsid w:val="003C2236"/>
    <w:rsid w:val="003C60EC"/>
    <w:rsid w:val="003C6ED0"/>
    <w:rsid w:val="003D1B32"/>
    <w:rsid w:val="003D2F55"/>
    <w:rsid w:val="003D30BE"/>
    <w:rsid w:val="003D344E"/>
    <w:rsid w:val="003D4BA0"/>
    <w:rsid w:val="003D5D25"/>
    <w:rsid w:val="003D7909"/>
    <w:rsid w:val="003E2A16"/>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16957"/>
    <w:rsid w:val="00422259"/>
    <w:rsid w:val="0042541A"/>
    <w:rsid w:val="00425A9C"/>
    <w:rsid w:val="00430CB2"/>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959E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E7D06"/>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6036C"/>
    <w:rsid w:val="00564276"/>
    <w:rsid w:val="00565125"/>
    <w:rsid w:val="00565F82"/>
    <w:rsid w:val="0056770F"/>
    <w:rsid w:val="00567BEE"/>
    <w:rsid w:val="00571CF5"/>
    <w:rsid w:val="00575462"/>
    <w:rsid w:val="005801FD"/>
    <w:rsid w:val="00582DCF"/>
    <w:rsid w:val="00583BDD"/>
    <w:rsid w:val="00584DC5"/>
    <w:rsid w:val="00586B2F"/>
    <w:rsid w:val="00586C68"/>
    <w:rsid w:val="00591798"/>
    <w:rsid w:val="00593CAE"/>
    <w:rsid w:val="005961BD"/>
    <w:rsid w:val="005A087A"/>
    <w:rsid w:val="005A1340"/>
    <w:rsid w:val="005A41A9"/>
    <w:rsid w:val="005A5ED4"/>
    <w:rsid w:val="005B294C"/>
    <w:rsid w:val="005B39A6"/>
    <w:rsid w:val="005B453B"/>
    <w:rsid w:val="005B6A6B"/>
    <w:rsid w:val="005C78FF"/>
    <w:rsid w:val="005D50F4"/>
    <w:rsid w:val="005D69E2"/>
    <w:rsid w:val="005E5837"/>
    <w:rsid w:val="005E6C13"/>
    <w:rsid w:val="005E7CEB"/>
    <w:rsid w:val="005F0DEE"/>
    <w:rsid w:val="00600A33"/>
    <w:rsid w:val="0060327D"/>
    <w:rsid w:val="00603420"/>
    <w:rsid w:val="006056F6"/>
    <w:rsid w:val="00610CBD"/>
    <w:rsid w:val="006116B8"/>
    <w:rsid w:val="00612A5C"/>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4957"/>
    <w:rsid w:val="006C1CF0"/>
    <w:rsid w:val="006C25A5"/>
    <w:rsid w:val="006C30F1"/>
    <w:rsid w:val="006C3B7C"/>
    <w:rsid w:val="006C5857"/>
    <w:rsid w:val="006C6E73"/>
    <w:rsid w:val="006C762C"/>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60D1D"/>
    <w:rsid w:val="00763291"/>
    <w:rsid w:val="0076395D"/>
    <w:rsid w:val="00763D6D"/>
    <w:rsid w:val="00764B51"/>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42F5"/>
    <w:rsid w:val="007C6E17"/>
    <w:rsid w:val="007E2863"/>
    <w:rsid w:val="007E2EC5"/>
    <w:rsid w:val="007E5974"/>
    <w:rsid w:val="007F2A31"/>
    <w:rsid w:val="007F32BF"/>
    <w:rsid w:val="00805356"/>
    <w:rsid w:val="00806255"/>
    <w:rsid w:val="00810D4C"/>
    <w:rsid w:val="00813EB7"/>
    <w:rsid w:val="00816278"/>
    <w:rsid w:val="00837CFC"/>
    <w:rsid w:val="008434BF"/>
    <w:rsid w:val="0084379F"/>
    <w:rsid w:val="00846D32"/>
    <w:rsid w:val="008503DC"/>
    <w:rsid w:val="00850EBD"/>
    <w:rsid w:val="008515F0"/>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5236"/>
    <w:rsid w:val="00903979"/>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47F3D"/>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278C"/>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6C56"/>
    <w:rsid w:val="00A87EAA"/>
    <w:rsid w:val="00A960D6"/>
    <w:rsid w:val="00A96624"/>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27C2C"/>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52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579D"/>
    <w:rsid w:val="00DA7411"/>
    <w:rsid w:val="00DA7BC4"/>
    <w:rsid w:val="00DA7D56"/>
    <w:rsid w:val="00DB27EC"/>
    <w:rsid w:val="00DB4DE5"/>
    <w:rsid w:val="00DB5194"/>
    <w:rsid w:val="00DB52F4"/>
    <w:rsid w:val="00DB6D77"/>
    <w:rsid w:val="00DC2FA3"/>
    <w:rsid w:val="00DC3377"/>
    <w:rsid w:val="00DC639E"/>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EDA"/>
    <w:rsid w:val="00E71649"/>
    <w:rsid w:val="00E729CA"/>
    <w:rsid w:val="00E74324"/>
    <w:rsid w:val="00E747B8"/>
    <w:rsid w:val="00E81326"/>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219D"/>
    <w:rsid w:val="00F825A4"/>
    <w:rsid w:val="00F84927"/>
    <w:rsid w:val="00F84F73"/>
    <w:rsid w:val="00F8595A"/>
    <w:rsid w:val="00F87F49"/>
    <w:rsid w:val="00F91095"/>
    <w:rsid w:val="00FA0616"/>
    <w:rsid w:val="00FA2A04"/>
    <w:rsid w:val="00FB14DC"/>
    <w:rsid w:val="00FB265D"/>
    <w:rsid w:val="00FB54AF"/>
    <w:rsid w:val="00FC2417"/>
    <w:rsid w:val="00FC27AD"/>
    <w:rsid w:val="00FC37A0"/>
    <w:rsid w:val="00FC4CB1"/>
    <w:rsid w:val="00FC68E9"/>
    <w:rsid w:val="00FD4989"/>
    <w:rsid w:val="00FE1659"/>
    <w:rsid w:val="00FE35E2"/>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f:fields xmlns:f="http://schemas.fabasoft.com/folio/2007/fields"/>
</file>

<file path=customXml/item4.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4F2E8C0-4122-4E00-8F8A-5C80554C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861EA8-81C6-4D71-968C-FFF0389C1403}">
  <ds:schemaRefs>
    <ds:schemaRef ds:uri="http://schemas.openxmlformats.org/officeDocument/2006/bibliography"/>
  </ds:schemaRefs>
</ds:datastoreItem>
</file>

<file path=customXml/itemProps6.xml><?xml version="1.0" encoding="utf-8"?>
<ds:datastoreItem xmlns:ds="http://schemas.openxmlformats.org/officeDocument/2006/customXml" ds:itemID="{EED5E8CA-03E1-45C9-A45B-97F570C2284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6000</Words>
  <Characters>34202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Miroslav Škvarka</cp:lastModifiedBy>
  <cp:revision>2</cp:revision>
  <cp:lastPrinted>2025-01-29T09:56:00Z</cp:lastPrinted>
  <dcterms:created xsi:type="dcterms:W3CDTF">2026-02-23T07:00:00Z</dcterms:created>
  <dcterms:modified xsi:type="dcterms:W3CDTF">2026-02-23T07:00:00Z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