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w:t>
      </w:r>
      <w:proofErr w:type="gramStart"/>
      <w:r w:rsidRPr="007C44FE">
        <w:rPr>
          <w:rFonts w:ascii="Times New Roman" w:eastAsia="Times New Roman" w:hAnsi="Times New Roman"/>
          <w:color w:val="000000"/>
          <w:sz w:val="24"/>
          <w:szCs w:val="24"/>
          <w:lang w:eastAsia="cs-CZ"/>
        </w:rPr>
        <w:t>2b</w:t>
      </w:r>
      <w:proofErr w:type="gramEnd"/>
      <w:r w:rsidRPr="007C44FE">
        <w:rPr>
          <w:rFonts w:ascii="Times New Roman" w:eastAsia="Times New Roman" w:hAnsi="Times New Roman"/>
          <w:color w:val="000000"/>
          <w:sz w:val="24"/>
          <w:szCs w:val="24"/>
          <w:lang w:eastAsia="cs-CZ"/>
        </w:rPr>
        <w:t xml:space="preserve">,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proofErr w:type="spellStart"/>
      <w:r w:rsidRPr="007C44FE">
        <w:rPr>
          <w:rFonts w:ascii="Times New Roman" w:eastAsia="Times New Roman" w:hAnsi="Times New Roman"/>
          <w:color w:val="000000"/>
          <w:sz w:val="24"/>
          <w:szCs w:val="24"/>
          <w:lang w:eastAsia="cs-CZ"/>
        </w:rPr>
        <w:t>Pontassievská</w:t>
      </w:r>
      <w:proofErr w:type="spellEnd"/>
      <w:r w:rsidRPr="007C44FE">
        <w:rPr>
          <w:rFonts w:ascii="Times New Roman" w:eastAsia="Times New Roman" w:hAnsi="Times New Roman"/>
          <w:color w:val="000000"/>
          <w:sz w:val="24"/>
          <w:szCs w:val="24"/>
          <w:lang w:eastAsia="cs-CZ"/>
        </w:rPr>
        <w:t xml:space="preserve"> 317/14, 669 02 Znojmo</w:t>
      </w:r>
    </w:p>
    <w:p w14:paraId="3CE3D922" w14:textId="36B35186"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w:t>
      </w:r>
      <w:r w:rsidR="00CE587C">
        <w:rPr>
          <w:rFonts w:ascii="Times New Roman" w:eastAsia="Times New Roman" w:hAnsi="Times New Roman"/>
          <w:color w:val="000000"/>
          <w:sz w:val="24"/>
          <w:szCs w:val="24"/>
          <w:lang w:eastAsia="cs-CZ"/>
        </w:rPr>
        <w:t>Ing. Zdeňkem Brabcem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proofErr w:type="gramStart"/>
      <w:r w:rsidRPr="007C44FE">
        <w:rPr>
          <w:b/>
        </w:rPr>
        <w:t>2.</w:t>
      </w:r>
      <w:r w:rsidR="00347244" w:rsidRPr="007C44FE">
        <w:rPr>
          <w:b/>
        </w:rPr>
        <w:t>….</w:t>
      </w:r>
      <w:proofErr w:type="gramEnd"/>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6C1470C4"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1951A8">
        <w:t> </w:t>
      </w:r>
      <w:r w:rsidR="00345D2A" w:rsidRPr="00345D2A">
        <w:rPr>
          <w:b/>
          <w:bCs/>
        </w:rPr>
        <w:t xml:space="preserve">Objekt VO </w:t>
      </w:r>
      <w:proofErr w:type="gramStart"/>
      <w:r w:rsidR="00345D2A" w:rsidRPr="00345D2A">
        <w:rPr>
          <w:b/>
          <w:bCs/>
        </w:rPr>
        <w:t>Dobšická - výměna</w:t>
      </w:r>
      <w:proofErr w:type="gramEnd"/>
      <w:r w:rsidR="00345D2A" w:rsidRPr="00345D2A">
        <w:rPr>
          <w:b/>
          <w:bCs/>
        </w:rPr>
        <w:t xml:space="preserve"> oken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w:t>
      </w:r>
      <w:proofErr w:type="gramStart"/>
      <w:r w:rsidRPr="007C44FE">
        <w:t>…….</w:t>
      </w:r>
      <w:proofErr w:type="gramEnd"/>
      <w:r w:rsidRPr="007C44FE">
        <w:t>(doplní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w:t>
      </w:r>
      <w:proofErr w:type="gramStart"/>
      <w:r w:rsidRPr="007C44FE">
        <w:t>…(</w:t>
      </w:r>
      <w:proofErr w:type="gramEnd"/>
      <w:r w:rsidRPr="007C44FE">
        <w:t>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w:t>
      </w:r>
      <w:proofErr w:type="gramStart"/>
      <w:r w:rsidRPr="007C44FE">
        <w:t>…….</w:t>
      </w:r>
      <w:proofErr w:type="gramEnd"/>
      <w:r w:rsidRPr="007C44FE">
        <w:t>.(doplní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06660C9B"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1951A8">
        <w:t>ihned po nabytí účinnosti smlouvy</w:t>
      </w:r>
      <w:r w:rsidR="00A5049B">
        <w:t xml:space="preserve"> </w:t>
      </w:r>
    </w:p>
    <w:p w14:paraId="3F7BB44D" w14:textId="1D96C361"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F73CCA">
        <w:t>15</w:t>
      </w:r>
      <w:r w:rsidR="00D676AE">
        <w:t>.</w:t>
      </w:r>
      <w:r w:rsidR="00345D2A">
        <w:t>05</w:t>
      </w:r>
      <w:r w:rsidR="00D676AE">
        <w:t>.202</w:t>
      </w:r>
      <w:r w:rsidR="001B1A02">
        <w:t>6</w:t>
      </w:r>
    </w:p>
    <w:p w14:paraId="07C0BA54" w14:textId="7AC5C540"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F73CCA">
        <w:t>15</w:t>
      </w:r>
      <w:r w:rsidR="00D676AE">
        <w:t>.</w:t>
      </w:r>
      <w:r w:rsidR="00345D2A">
        <w:t>05</w:t>
      </w:r>
      <w:r w:rsidR="00D676AE">
        <w:t>.202</w:t>
      </w:r>
      <w:r w:rsidR="001B1A02">
        <w:t>6</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5E4A6A0D"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1951A8">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3611D941" w14:textId="74CC3BE8" w:rsidR="001B1A02" w:rsidRDefault="002F24C9" w:rsidP="00F73CC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149010EE" w:rsidR="004455DA" w:rsidRPr="007C44FE" w:rsidRDefault="00A54520" w:rsidP="00AD6719">
      <w:pPr>
        <w:pStyle w:val="Normlnweb"/>
        <w:numPr>
          <w:ilvl w:val="0"/>
          <w:numId w:val="11"/>
        </w:numPr>
        <w:shd w:val="clear" w:color="auto" w:fill="FFFFFF"/>
        <w:spacing w:before="120"/>
        <w:ind w:left="425" w:hanging="425"/>
        <w:jc w:val="both"/>
      </w:pPr>
      <w:r w:rsidRPr="007C44FE">
        <w:t xml:space="preserve">Místem plnění je: </w:t>
      </w:r>
      <w:r w:rsidR="00345D2A">
        <w:t>středisko údržby SNMZ, objekt VO, Dobšická 11,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w:t>
      </w:r>
      <w:proofErr w:type="gramStart"/>
      <w:r w:rsidR="00721575" w:rsidRPr="007C44FE">
        <w:t>…….</w:t>
      </w:r>
      <w:proofErr w:type="gramEnd"/>
      <w:r w:rsidR="00721575" w:rsidRPr="007C44FE">
        <w:t>(doplní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76129A4F" w14:textId="77777777" w:rsidR="0097554C" w:rsidRDefault="0097554C" w:rsidP="00D676AE">
      <w:pPr>
        <w:pStyle w:val="Normlnweb"/>
        <w:shd w:val="clear" w:color="auto" w:fill="FFFFFF"/>
        <w:spacing w:before="120"/>
        <w:jc w:val="both"/>
        <w:rPr>
          <w:b/>
        </w:rPr>
      </w:pPr>
    </w:p>
    <w:p w14:paraId="2985A046" w14:textId="77777777" w:rsidR="00B34E66" w:rsidRPr="007C44FE" w:rsidRDefault="00B34E66"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proofErr w:type="gramStart"/>
      <w:r w:rsidR="001700CD" w:rsidRPr="007C44FE">
        <w:rPr>
          <w:b/>
        </w:rPr>
        <w:t>……..…..</w:t>
      </w:r>
      <w:r w:rsidR="004F632A" w:rsidRPr="007C44FE">
        <w:rPr>
          <w:b/>
        </w:rPr>
        <w:t>,-</w:t>
      </w:r>
      <w:proofErr w:type="gramEnd"/>
      <w:r w:rsidR="004F632A" w:rsidRPr="007C44FE">
        <w:rPr>
          <w:b/>
        </w:rPr>
        <w:t xml:space="preserve"> Kč</w:t>
      </w:r>
    </w:p>
    <w:p w14:paraId="70A5E0EF" w14:textId="706190B9" w:rsidR="005967EE" w:rsidRPr="007C44FE" w:rsidRDefault="005967EE" w:rsidP="003C716B">
      <w:pPr>
        <w:pStyle w:val="Normlnweb"/>
        <w:shd w:val="clear" w:color="auto" w:fill="FFFFFF"/>
        <w:ind w:left="426" w:hanging="426"/>
        <w:rPr>
          <w:b/>
        </w:rPr>
      </w:pPr>
      <w:r w:rsidRPr="007C44FE">
        <w:rPr>
          <w:b/>
        </w:rPr>
        <w:br/>
        <w:t xml:space="preserve">DPH </w:t>
      </w:r>
      <w:proofErr w:type="gramStart"/>
      <w:r w:rsidR="00345D2A">
        <w:rPr>
          <w:b/>
        </w:rPr>
        <w:t>21</w:t>
      </w:r>
      <w:r w:rsidRPr="007C44FE">
        <w:rPr>
          <w:b/>
        </w:rPr>
        <w:t>%</w:t>
      </w:r>
      <w:proofErr w:type="gramEnd"/>
      <w:r w:rsidRPr="007C44FE">
        <w:rPr>
          <w:b/>
        </w:rPr>
        <w:t xml:space="preserve"> ………………………</w:t>
      </w:r>
      <w:r w:rsidR="001700CD" w:rsidRPr="007C44FE">
        <w:rPr>
          <w:b/>
        </w:rPr>
        <w:t>…</w:t>
      </w:r>
      <w:proofErr w:type="gramStart"/>
      <w:r w:rsidR="001700CD" w:rsidRPr="007C44FE">
        <w:rPr>
          <w:b/>
        </w:rPr>
        <w:t>…….</w:t>
      </w:r>
      <w:proofErr w:type="gramEnd"/>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proofErr w:type="gramStart"/>
      <w:r w:rsidR="001700CD" w:rsidRPr="007C44FE">
        <w:rPr>
          <w:b/>
        </w:rPr>
        <w:t>...</w:t>
      </w:r>
      <w:r w:rsidR="007E512E" w:rsidRPr="007C44FE">
        <w:rPr>
          <w:b/>
        </w:rPr>
        <w:t>,-</w:t>
      </w:r>
      <w:proofErr w:type="gramEnd"/>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w:t>
      </w:r>
      <w:proofErr w:type="gramStart"/>
      <w:r w:rsidRPr="007C44FE">
        <w:t>s</w:t>
      </w:r>
      <w:r w:rsidR="005967EE" w:rsidRPr="007C44FE">
        <w:t>lovy</w:t>
      </w:r>
      <w:r w:rsidR="004F632A" w:rsidRPr="007C44FE">
        <w:t>:</w:t>
      </w:r>
      <w:r w:rsidR="001700CD" w:rsidRPr="007C44FE">
        <w:t>…</w:t>
      </w:r>
      <w:proofErr w:type="gramEnd"/>
      <w:r w:rsidR="001700CD" w:rsidRPr="007C44FE">
        <w:t>………………………</w:t>
      </w:r>
      <w:proofErr w:type="gramStart"/>
      <w:r w:rsidR="001700CD" w:rsidRPr="007C44FE">
        <w:t>…….</w:t>
      </w:r>
      <w:proofErr w:type="gramEnd"/>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A42C121" w14:textId="5CD42F03" w:rsidR="004412F7" w:rsidRPr="004412F7" w:rsidRDefault="004412F7" w:rsidP="00502210">
      <w:pPr>
        <w:pStyle w:val="Normlnweb"/>
        <w:keepNext/>
        <w:widowControl w:val="0"/>
        <w:numPr>
          <w:ilvl w:val="0"/>
          <w:numId w:val="10"/>
        </w:numPr>
        <w:shd w:val="clear" w:color="auto" w:fill="FFFFFF"/>
        <w:spacing w:before="120"/>
        <w:ind w:left="426" w:hanging="426"/>
        <w:jc w:val="both"/>
      </w:pPr>
      <w:r w:rsidRPr="004412F7">
        <w:t>Smluvní strany se dohodly, že objednatel ve vztahu k této smlouvě a plnění z ní vyplývajícímu nevystupuje jako osoba povinná k dani ve smyslu § 5 zákona č. 235/2004 Sb., o dani z přidané hodnoty, ve znění pozdějších předpisů (dále jen „ZDPH“). V důsledku toho nebude na plnění dle této smlouvy aplikován režim přenesení daňové povinnosti dle § 92a a § 92e ZDPH. Cena díla bude zhotovitelem fakturována a objednatelem uhrazena včetně DPH v zákonné výši.</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6B885E84"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sidR="004A43A2">
        <w:rPr>
          <w:color w:val="000000"/>
        </w:rPr>
        <w:t>konečné</w:t>
      </w:r>
      <w:r w:rsidRPr="007C44FE">
        <w:rPr>
          <w:color w:val="000000"/>
        </w:rPr>
        <w:t xml:space="preserve"> </w:t>
      </w:r>
      <w:r w:rsidR="004A43A2">
        <w:rPr>
          <w:color w:val="000000"/>
        </w:rPr>
        <w:t xml:space="preserve">faktury </w:t>
      </w:r>
      <w:r w:rsidRPr="007C44FE">
        <w:rPr>
          <w:color w:val="000000"/>
        </w:rPr>
        <w:t>vystaven</w:t>
      </w:r>
      <w:r w:rsidR="004A43A2">
        <w:rPr>
          <w:color w:val="000000"/>
        </w:rPr>
        <w:t>é</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nepředá předmět díla ve sjednaném termínu, je objednatel oprávněn požadovat zaplacení smluvní pokuty ve výši 0,5 % z ceny díla bez DPH (minimálně však </w:t>
      </w:r>
      <w:proofErr w:type="gramStart"/>
      <w:r w:rsidRPr="007C44FE">
        <w:rPr>
          <w:rFonts w:ascii="Times New Roman" w:hAnsi="Times New Roman" w:cs="Times New Roman"/>
          <w:sz w:val="24"/>
          <w:szCs w:val="24"/>
        </w:rPr>
        <w:t>5.000,-</w:t>
      </w:r>
      <w:proofErr w:type="gramEnd"/>
      <w:r w:rsidRPr="007C44FE">
        <w:rPr>
          <w:rFonts w:ascii="Times New Roman" w:hAnsi="Times New Roman" w:cs="Times New Roman"/>
          <w:sz w:val="24"/>
          <w:szCs w:val="24"/>
        </w:rPr>
        <w:t xml:space="preserve">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 xml:space="preserve">ve výši 0,2 % z ceny díla bez DPH (minimálně však </w:t>
      </w:r>
      <w:proofErr w:type="gramStart"/>
      <w:r w:rsidRPr="007C44FE">
        <w:rPr>
          <w:rFonts w:ascii="Times New Roman" w:hAnsi="Times New Roman" w:cs="Times New Roman"/>
          <w:sz w:val="24"/>
          <w:szCs w:val="24"/>
        </w:rPr>
        <w:t>2.000,-</w:t>
      </w:r>
      <w:proofErr w:type="gramEnd"/>
      <w:r w:rsidRPr="007C44FE">
        <w:rPr>
          <w:rFonts w:ascii="Times New Roman" w:hAnsi="Times New Roman" w:cs="Times New Roman"/>
          <w:sz w:val="24"/>
          <w:szCs w:val="24"/>
        </w:rPr>
        <w:t xml:space="preserve">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bude v prodlení s odstraněním reklamované vady díla nebo záruční vady, je objednatel oprávněn požadovat zaplacení smluvní pokuty ve výši 0,2 % z ceny díla bez DPH (minimálně však </w:t>
      </w:r>
      <w:proofErr w:type="gramStart"/>
      <w:r w:rsidRPr="007C44FE">
        <w:rPr>
          <w:rFonts w:ascii="Times New Roman" w:hAnsi="Times New Roman" w:cs="Times New Roman"/>
          <w:sz w:val="24"/>
          <w:szCs w:val="24"/>
        </w:rPr>
        <w:t>2.000</w:t>
      </w:r>
      <w:r w:rsidR="00325D82" w:rsidRPr="007C44FE">
        <w:rPr>
          <w:rFonts w:ascii="Times New Roman" w:hAnsi="Times New Roman" w:cs="Times New Roman"/>
          <w:sz w:val="24"/>
          <w:szCs w:val="24"/>
        </w:rPr>
        <w:t>,-</w:t>
      </w:r>
      <w:proofErr w:type="gramEnd"/>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Bude-li zhotovitel v prodlení s vyklizením staveniště, je objednatel oprávněn požadovat zaplacení smluvní pokuty ve výši </w:t>
      </w:r>
      <w:proofErr w:type="gramStart"/>
      <w:r w:rsidRPr="007C44FE">
        <w:rPr>
          <w:rFonts w:ascii="Times New Roman" w:hAnsi="Times New Roman" w:cs="Times New Roman"/>
          <w:sz w:val="24"/>
          <w:szCs w:val="24"/>
        </w:rPr>
        <w:t>0,3%</w:t>
      </w:r>
      <w:proofErr w:type="gramEnd"/>
      <w:r w:rsidRPr="007C44FE">
        <w:rPr>
          <w:rFonts w:ascii="Times New Roman" w:hAnsi="Times New Roman" w:cs="Times New Roman"/>
          <w:sz w:val="24"/>
          <w:szCs w:val="24"/>
        </w:rPr>
        <w:t xml:space="preserve"> z ceny díla bez DPH (minimálně však </w:t>
      </w:r>
      <w:proofErr w:type="gramStart"/>
      <w:r w:rsidRPr="007C44FE">
        <w:rPr>
          <w:rFonts w:ascii="Times New Roman" w:hAnsi="Times New Roman" w:cs="Times New Roman"/>
          <w:sz w:val="24"/>
          <w:szCs w:val="24"/>
        </w:rPr>
        <w:t>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w:t>
      </w:r>
      <w:proofErr w:type="gramEnd"/>
      <w:r w:rsidRPr="007C44FE">
        <w:rPr>
          <w:rFonts w:ascii="Times New Roman" w:hAnsi="Times New Roman" w:cs="Times New Roman"/>
          <w:sz w:val="24"/>
          <w:szCs w:val="24"/>
        </w:rPr>
        <w:t xml:space="preserve">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poruší povinnost vést stavební deník, je objednatel oprávněn požadovat zaplacení jednorázové smluvní pokuty ve výši 0,2 % z ceny díla bez DPH (minimálně však </w:t>
      </w:r>
      <w:proofErr w:type="gramStart"/>
      <w:r w:rsidRPr="007C44FE">
        <w:rPr>
          <w:rFonts w:ascii="Times New Roman" w:hAnsi="Times New Roman" w:cs="Times New Roman"/>
          <w:sz w:val="24"/>
          <w:szCs w:val="24"/>
        </w:rPr>
        <w:t>2.000,-</w:t>
      </w:r>
      <w:proofErr w:type="gramEnd"/>
      <w:r w:rsidRPr="007C44FE">
        <w:rPr>
          <w:rFonts w:ascii="Times New Roman" w:hAnsi="Times New Roman" w:cs="Times New Roman"/>
          <w:sz w:val="24"/>
          <w:szCs w:val="24"/>
        </w:rPr>
        <w:t xml:space="preserve">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035CF63" w14:textId="50AA9777" w:rsidR="00DE6D52" w:rsidRDefault="00D9055B" w:rsidP="00DE6D52">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xml:space="preserve">, je objednatel oprávněn požadovat zaplacení smluvní pokuty ve výši </w:t>
      </w:r>
      <w:proofErr w:type="gramStart"/>
      <w:r w:rsidRPr="007C44FE">
        <w:rPr>
          <w:rFonts w:ascii="Times New Roman" w:hAnsi="Times New Roman" w:cs="Times New Roman"/>
          <w:sz w:val="24"/>
          <w:szCs w:val="24"/>
        </w:rPr>
        <w:t>4%</w:t>
      </w:r>
      <w:proofErr w:type="gramEnd"/>
      <w:r w:rsidRPr="007C44FE">
        <w:rPr>
          <w:rFonts w:ascii="Times New Roman" w:hAnsi="Times New Roman" w:cs="Times New Roman"/>
          <w:sz w:val="24"/>
          <w:szCs w:val="24"/>
        </w:rPr>
        <w:t xml:space="preserve"> z ceny díla bez DPH (minimálně však </w:t>
      </w:r>
      <w:proofErr w:type="gramStart"/>
      <w:r w:rsidRPr="007C44FE">
        <w:rPr>
          <w:rFonts w:ascii="Times New Roman" w:hAnsi="Times New Roman" w:cs="Times New Roman"/>
          <w:sz w:val="24"/>
          <w:szCs w:val="24"/>
        </w:rPr>
        <w:t>20.000,-</w:t>
      </w:r>
      <w:proofErr w:type="gramEnd"/>
      <w:r w:rsidRPr="007C44FE">
        <w:rPr>
          <w:rFonts w:ascii="Times New Roman" w:hAnsi="Times New Roman" w:cs="Times New Roman"/>
          <w:sz w:val="24"/>
          <w:szCs w:val="24"/>
        </w:rPr>
        <w:t xml:space="preserve"> Kč) za každého zjištěného subdodavatele neuvedeného v příloze č. 3 této smlouvy.</w:t>
      </w:r>
    </w:p>
    <w:p w14:paraId="1E5FB51D" w14:textId="77777777" w:rsidR="00345D2A" w:rsidRPr="00F73CCA" w:rsidRDefault="00345D2A" w:rsidP="00345D2A">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proofErr w:type="gramStart"/>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do </w:t>
      </w:r>
      <w:proofErr w:type="gramStart"/>
      <w:r w:rsidRPr="007C44FE">
        <w:t>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w:t>
      </w:r>
      <w:proofErr w:type="spellStart"/>
      <w:r w:rsidRPr="007C44FE">
        <w:rPr>
          <w:rFonts w:ascii="Times New Roman" w:hAnsi="Times New Roman" w:cs="Times New Roman"/>
        </w:rPr>
        <w:t>a</w:t>
      </w:r>
      <w:proofErr w:type="spellEnd"/>
      <w:r w:rsidRPr="007C44FE">
        <w:rPr>
          <w:rFonts w:ascii="Times New Roman" w:hAnsi="Times New Roman" w:cs="Times New Roman"/>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Default="00481A7A" w:rsidP="00EF7EC9">
      <w:pPr>
        <w:tabs>
          <w:tab w:val="left" w:pos="705"/>
        </w:tabs>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19CCD2EB" w14:textId="2146C7ED" w:rsidR="00CE587C" w:rsidRPr="007C44FE" w:rsidRDefault="00CE587C"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60C01D71" w14:textId="77777777" w:rsidR="00D676AE" w:rsidRDefault="00D676AE" w:rsidP="00555E41">
      <w:pPr>
        <w:tabs>
          <w:tab w:val="left" w:pos="705"/>
        </w:tabs>
        <w:spacing w:after="120"/>
        <w:ind w:right="570"/>
        <w:jc w:val="both"/>
        <w:rPr>
          <w:rFonts w:ascii="Times New Roman" w:hAnsi="Times New Roman"/>
          <w:sz w:val="24"/>
          <w:szCs w:val="24"/>
        </w:rPr>
      </w:pPr>
    </w:p>
    <w:p w14:paraId="5517CE23" w14:textId="77777777" w:rsidR="00D676AE" w:rsidRDefault="00D676AE" w:rsidP="00555E41">
      <w:pPr>
        <w:tabs>
          <w:tab w:val="left" w:pos="705"/>
        </w:tabs>
        <w:spacing w:after="120"/>
        <w:ind w:right="570"/>
        <w:jc w:val="both"/>
        <w:rPr>
          <w:rFonts w:ascii="Times New Roman" w:hAnsi="Times New Roman"/>
          <w:sz w:val="24"/>
          <w:szCs w:val="24"/>
        </w:rPr>
      </w:pPr>
    </w:p>
    <w:p w14:paraId="38F6C220" w14:textId="77777777" w:rsidR="00D676AE" w:rsidRDefault="00D676AE" w:rsidP="00555E41">
      <w:pPr>
        <w:tabs>
          <w:tab w:val="left" w:pos="705"/>
        </w:tabs>
        <w:spacing w:after="120"/>
        <w:ind w:right="570"/>
        <w:jc w:val="both"/>
        <w:rPr>
          <w:rFonts w:ascii="Times New Roman" w:hAnsi="Times New Roman"/>
          <w:sz w:val="24"/>
          <w:szCs w:val="24"/>
        </w:rPr>
      </w:pPr>
    </w:p>
    <w:p w14:paraId="311B2B24" w14:textId="77777777" w:rsidR="00D676AE" w:rsidRPr="007C44FE" w:rsidRDefault="00D676AE"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V …………</w:t>
      </w:r>
      <w:proofErr w:type="gramStart"/>
      <w:r w:rsidRPr="007C44FE">
        <w:rPr>
          <w:rFonts w:ascii="Times New Roman" w:hAnsi="Times New Roman" w:cs="Times New Roman"/>
        </w:rPr>
        <w:t xml:space="preserve">… </w:t>
      </w:r>
      <w:r w:rsidR="00555E41" w:rsidRPr="007C44FE">
        <w:rPr>
          <w:rFonts w:ascii="Times New Roman" w:hAnsi="Times New Roman" w:cs="Times New Roman"/>
        </w:rPr>
        <w:t>,</w:t>
      </w:r>
      <w:proofErr w:type="gramEnd"/>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7A6DFF4A" w:rsidR="00555E41" w:rsidRPr="007C44FE" w:rsidRDefault="00CE587C"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2EF5"/>
    <w:rsid w:val="000456A9"/>
    <w:rsid w:val="00061D8A"/>
    <w:rsid w:val="0007467C"/>
    <w:rsid w:val="000B1595"/>
    <w:rsid w:val="000D3516"/>
    <w:rsid w:val="000F1D1C"/>
    <w:rsid w:val="00126D20"/>
    <w:rsid w:val="0016174F"/>
    <w:rsid w:val="001700CD"/>
    <w:rsid w:val="001802F9"/>
    <w:rsid w:val="00185936"/>
    <w:rsid w:val="00185C9A"/>
    <w:rsid w:val="001951A8"/>
    <w:rsid w:val="001B1A02"/>
    <w:rsid w:val="001C45AF"/>
    <w:rsid w:val="00202F86"/>
    <w:rsid w:val="00214DA6"/>
    <w:rsid w:val="002242ED"/>
    <w:rsid w:val="00251446"/>
    <w:rsid w:val="00277834"/>
    <w:rsid w:val="002779AA"/>
    <w:rsid w:val="00287F3D"/>
    <w:rsid w:val="002A3F1E"/>
    <w:rsid w:val="002C27E6"/>
    <w:rsid w:val="002D2BAF"/>
    <w:rsid w:val="002D56B5"/>
    <w:rsid w:val="002E1801"/>
    <w:rsid w:val="002F24C9"/>
    <w:rsid w:val="00304015"/>
    <w:rsid w:val="0030728A"/>
    <w:rsid w:val="00311E78"/>
    <w:rsid w:val="00315504"/>
    <w:rsid w:val="00325D82"/>
    <w:rsid w:val="00326548"/>
    <w:rsid w:val="0034298F"/>
    <w:rsid w:val="00345D2A"/>
    <w:rsid w:val="003460BE"/>
    <w:rsid w:val="00347244"/>
    <w:rsid w:val="00355B24"/>
    <w:rsid w:val="00393563"/>
    <w:rsid w:val="00395DAE"/>
    <w:rsid w:val="003C3A09"/>
    <w:rsid w:val="003C716B"/>
    <w:rsid w:val="00402CFB"/>
    <w:rsid w:val="004402AB"/>
    <w:rsid w:val="004412F7"/>
    <w:rsid w:val="004426B2"/>
    <w:rsid w:val="004455DA"/>
    <w:rsid w:val="00461C43"/>
    <w:rsid w:val="00467887"/>
    <w:rsid w:val="00481A7A"/>
    <w:rsid w:val="0049304F"/>
    <w:rsid w:val="004970A3"/>
    <w:rsid w:val="004A33B1"/>
    <w:rsid w:val="004A4144"/>
    <w:rsid w:val="004A43A2"/>
    <w:rsid w:val="004C2595"/>
    <w:rsid w:val="004F632A"/>
    <w:rsid w:val="00502210"/>
    <w:rsid w:val="00515600"/>
    <w:rsid w:val="00527DD3"/>
    <w:rsid w:val="00555E41"/>
    <w:rsid w:val="00580CA5"/>
    <w:rsid w:val="0058154E"/>
    <w:rsid w:val="005967EE"/>
    <w:rsid w:val="005B0A10"/>
    <w:rsid w:val="005B3D7F"/>
    <w:rsid w:val="005B6D99"/>
    <w:rsid w:val="005C16B5"/>
    <w:rsid w:val="005E1CF2"/>
    <w:rsid w:val="00601B93"/>
    <w:rsid w:val="00637F29"/>
    <w:rsid w:val="006642B5"/>
    <w:rsid w:val="006B7D8C"/>
    <w:rsid w:val="006C30EC"/>
    <w:rsid w:val="006E1F61"/>
    <w:rsid w:val="006E43E5"/>
    <w:rsid w:val="006E4F8F"/>
    <w:rsid w:val="007132CB"/>
    <w:rsid w:val="00721575"/>
    <w:rsid w:val="00724C03"/>
    <w:rsid w:val="00780308"/>
    <w:rsid w:val="00791F1B"/>
    <w:rsid w:val="00793F7D"/>
    <w:rsid w:val="007A1BE1"/>
    <w:rsid w:val="007A3B64"/>
    <w:rsid w:val="007B22D0"/>
    <w:rsid w:val="007C44FE"/>
    <w:rsid w:val="007E4B42"/>
    <w:rsid w:val="007E512E"/>
    <w:rsid w:val="007E7A24"/>
    <w:rsid w:val="007F728B"/>
    <w:rsid w:val="00807F28"/>
    <w:rsid w:val="008205F6"/>
    <w:rsid w:val="00821980"/>
    <w:rsid w:val="00823EC6"/>
    <w:rsid w:val="008304EF"/>
    <w:rsid w:val="00866E2F"/>
    <w:rsid w:val="008A60F9"/>
    <w:rsid w:val="008C5248"/>
    <w:rsid w:val="008D04A0"/>
    <w:rsid w:val="008D5A01"/>
    <w:rsid w:val="008D5DE7"/>
    <w:rsid w:val="008E76BE"/>
    <w:rsid w:val="008F37BD"/>
    <w:rsid w:val="00911B9F"/>
    <w:rsid w:val="00940C56"/>
    <w:rsid w:val="0097554C"/>
    <w:rsid w:val="00976794"/>
    <w:rsid w:val="00995F9E"/>
    <w:rsid w:val="009A0283"/>
    <w:rsid w:val="009D157C"/>
    <w:rsid w:val="009D50EF"/>
    <w:rsid w:val="009F01C3"/>
    <w:rsid w:val="00A12883"/>
    <w:rsid w:val="00A25BA2"/>
    <w:rsid w:val="00A3268C"/>
    <w:rsid w:val="00A42DD5"/>
    <w:rsid w:val="00A5049B"/>
    <w:rsid w:val="00A54520"/>
    <w:rsid w:val="00A7694F"/>
    <w:rsid w:val="00AC6C38"/>
    <w:rsid w:val="00AC713F"/>
    <w:rsid w:val="00AD6719"/>
    <w:rsid w:val="00AE264E"/>
    <w:rsid w:val="00AF319B"/>
    <w:rsid w:val="00B0228E"/>
    <w:rsid w:val="00B13CD8"/>
    <w:rsid w:val="00B33C66"/>
    <w:rsid w:val="00B34E66"/>
    <w:rsid w:val="00B62C43"/>
    <w:rsid w:val="00B87D00"/>
    <w:rsid w:val="00B9354E"/>
    <w:rsid w:val="00BD2E6B"/>
    <w:rsid w:val="00BF76EA"/>
    <w:rsid w:val="00C03739"/>
    <w:rsid w:val="00C64A55"/>
    <w:rsid w:val="00C712BA"/>
    <w:rsid w:val="00CA23FB"/>
    <w:rsid w:val="00CB271E"/>
    <w:rsid w:val="00CC6510"/>
    <w:rsid w:val="00CD3FDC"/>
    <w:rsid w:val="00CE587C"/>
    <w:rsid w:val="00CF36BF"/>
    <w:rsid w:val="00CF4F3E"/>
    <w:rsid w:val="00D066CC"/>
    <w:rsid w:val="00D46FE3"/>
    <w:rsid w:val="00D54CD4"/>
    <w:rsid w:val="00D676AE"/>
    <w:rsid w:val="00D9055B"/>
    <w:rsid w:val="00D9208C"/>
    <w:rsid w:val="00DE6D52"/>
    <w:rsid w:val="00DF4CC3"/>
    <w:rsid w:val="00E2014D"/>
    <w:rsid w:val="00E3332E"/>
    <w:rsid w:val="00E402E4"/>
    <w:rsid w:val="00E4379D"/>
    <w:rsid w:val="00E50500"/>
    <w:rsid w:val="00E55092"/>
    <w:rsid w:val="00E572F8"/>
    <w:rsid w:val="00E71B11"/>
    <w:rsid w:val="00E72849"/>
    <w:rsid w:val="00E74715"/>
    <w:rsid w:val="00EA30A6"/>
    <w:rsid w:val="00EF7EC9"/>
    <w:rsid w:val="00F20451"/>
    <w:rsid w:val="00F3737C"/>
    <w:rsid w:val="00F41789"/>
    <w:rsid w:val="00F70B8E"/>
    <w:rsid w:val="00F73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3610</Words>
  <Characters>21299</Characters>
  <Application>Microsoft Office Word</Application>
  <DocSecurity>4</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Kristýna Šimková</dc:creator>
  <cp:lastModifiedBy>admin</cp:lastModifiedBy>
  <cp:revision>2</cp:revision>
  <cp:lastPrinted>2020-03-09T12:36:00Z</cp:lastPrinted>
  <dcterms:created xsi:type="dcterms:W3CDTF">2026-02-06T07:33:00Z</dcterms:created>
  <dcterms:modified xsi:type="dcterms:W3CDTF">2026-02-06T07:33:00Z</dcterms:modified>
</cp:coreProperties>
</file>