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F723" w14:textId="77777777" w:rsidR="00021953" w:rsidRPr="00624CE6" w:rsidRDefault="00021953" w:rsidP="00021953">
      <w:pPr>
        <w:pStyle w:val="Normlny1"/>
        <w:rPr>
          <w:rFonts w:asciiTheme="minorHAnsi" w:hAnsiTheme="minorHAnsi" w:cstheme="minorHAnsi"/>
          <w:b/>
          <w:bCs/>
          <w:color w:val="auto"/>
        </w:rPr>
      </w:pPr>
      <w:r w:rsidRPr="00624CE6">
        <w:rPr>
          <w:rFonts w:asciiTheme="minorHAnsi" w:hAnsiTheme="minorHAnsi" w:cstheme="minorHAnsi"/>
          <w:b/>
          <w:bCs/>
          <w:color w:val="auto"/>
        </w:rPr>
        <w:t>PRÍLOHA č. 3, časť A)</w:t>
      </w:r>
    </w:p>
    <w:p w14:paraId="56BCE8D9" w14:textId="19A34140" w:rsidR="005633AC" w:rsidRPr="008851D9" w:rsidRDefault="006774D3">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3A3669" w:rsidR="00C73C84" w:rsidRPr="004746C2" w:rsidRDefault="005B4AB2">
      <w:pPr>
        <w:pStyle w:val="Normlny1"/>
        <w:widowControl w:val="0"/>
        <w:spacing w:line="240" w:lineRule="auto"/>
        <w:jc w:val="center"/>
        <w:rPr>
          <w:rFonts w:asciiTheme="minorHAnsi" w:hAnsiTheme="minorHAnsi" w:cstheme="minorHAnsi"/>
        </w:rPr>
      </w:pPr>
      <w:r w:rsidRPr="00624CE6">
        <w:rPr>
          <w:rFonts w:asciiTheme="minorHAnsi" w:hAnsiTheme="minorHAnsi" w:cstheme="minorHAnsi"/>
          <w:b/>
        </w:rPr>
        <w:t xml:space="preserve">č. </w:t>
      </w:r>
      <w:bookmarkStart w:id="2" w:name="OLE_LINK3"/>
      <w:bookmarkStart w:id="3" w:name="OLE_LINK4"/>
      <w:r w:rsidRPr="00624CE6">
        <w:rPr>
          <w:rFonts w:asciiTheme="minorHAnsi" w:hAnsiTheme="minorHAnsi" w:cstheme="minorHAnsi"/>
          <w:b/>
        </w:rPr>
        <w:t>05.3-</w:t>
      </w:r>
      <w:r w:rsidR="00CE10FE" w:rsidRPr="00624CE6">
        <w:rPr>
          <w:rFonts w:asciiTheme="minorHAnsi" w:hAnsiTheme="minorHAnsi" w:cstheme="minorHAnsi"/>
          <w:b/>
        </w:rPr>
        <w:t>XX</w:t>
      </w:r>
      <w:r w:rsidR="00502BB5" w:rsidRPr="00624CE6">
        <w:rPr>
          <w:rFonts w:asciiTheme="minorHAnsi" w:hAnsiTheme="minorHAnsi" w:cstheme="minorHAnsi"/>
          <w:b/>
        </w:rPr>
        <w:t>-20</w:t>
      </w:r>
      <w:r w:rsidR="00C75672" w:rsidRPr="00624CE6">
        <w:rPr>
          <w:rFonts w:asciiTheme="minorHAnsi" w:hAnsiTheme="minorHAnsi" w:cstheme="minorHAnsi"/>
          <w:b/>
        </w:rPr>
        <w:t>2</w:t>
      </w:r>
      <w:bookmarkEnd w:id="2"/>
      <w:bookmarkEnd w:id="3"/>
      <w:r w:rsidR="00197393" w:rsidRPr="00624CE6">
        <w:rPr>
          <w:rFonts w:asciiTheme="minorHAnsi" w:hAnsiTheme="minorHAnsi" w:cstheme="minorHAnsi"/>
          <w:b/>
        </w:rPr>
        <w:t>5</w:t>
      </w:r>
    </w:p>
    <w:p w14:paraId="7221BD14" w14:textId="77777777" w:rsidR="00C73C84" w:rsidRPr="004746C2" w:rsidRDefault="006774D3">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19739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1AE4757C" w14:textId="77777777" w:rsidR="00197393" w:rsidRDefault="00197393" w:rsidP="00197393">
            <w:pPr>
              <w:pStyle w:val="Normlny1"/>
              <w:widowControl w:val="0"/>
              <w:tabs>
                <w:tab w:val="left" w:pos="0"/>
                <w:tab w:val="left" w:pos="3516"/>
              </w:tabs>
              <w:spacing w:line="240" w:lineRule="auto"/>
              <w:jc w:val="both"/>
              <w:rPr>
                <w:rFonts w:ascii="Calibri" w:hAnsi="Calibri" w:cs="Calibri"/>
              </w:rPr>
            </w:pPr>
            <w:r>
              <w:rPr>
                <w:rFonts w:ascii="Calibri" w:hAnsi="Calibri" w:cs="Calibri"/>
              </w:rPr>
              <w:t>Obchodné meno:</w:t>
            </w:r>
            <w:r>
              <w:rPr>
                <w:rFonts w:ascii="Calibri" w:hAnsi="Calibri" w:cs="Calibri"/>
                <w:b/>
              </w:rPr>
              <w:t xml:space="preserve"> </w:t>
            </w:r>
            <w:r>
              <w:rPr>
                <w:rFonts w:ascii="Calibri" w:hAnsi="Calibri" w:cs="Calibri"/>
                <w:b/>
              </w:rPr>
              <w:tab/>
            </w:r>
            <w:r>
              <w:rPr>
                <w:rFonts w:ascii="Calibri" w:hAnsi="Calibri" w:cs="Calibri"/>
                <w:b/>
              </w:rPr>
              <w:tab/>
              <w:t xml:space="preserve">          </w:t>
            </w:r>
          </w:p>
          <w:p w14:paraId="497BCF5E"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Sídlo: </w:t>
            </w:r>
            <w:r>
              <w:rPr>
                <w:rFonts w:ascii="Calibri" w:hAnsi="Calibri" w:cs="Calibri"/>
              </w:rPr>
              <w:tab/>
            </w:r>
            <w:r>
              <w:rPr>
                <w:rFonts w:ascii="Calibri" w:hAnsi="Calibri" w:cs="Calibri"/>
              </w:rPr>
              <w:tab/>
              <w:t xml:space="preserve">                                      </w:t>
            </w:r>
          </w:p>
          <w:p w14:paraId="2DCF2144"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IČO: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E3BF88E"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Zapísaný:</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DBB4B08" w14:textId="77777777" w:rsidR="00197393" w:rsidRDefault="00197393" w:rsidP="00197393">
            <w:pPr>
              <w:pStyle w:val="Normlny1"/>
              <w:widowControl w:val="0"/>
              <w:tabs>
                <w:tab w:val="left" w:pos="0"/>
              </w:tabs>
              <w:spacing w:line="240" w:lineRule="auto"/>
              <w:jc w:val="both"/>
              <w:rPr>
                <w:rFonts w:ascii="Calibri" w:hAnsi="Calibri" w:cs="Calibri"/>
              </w:rPr>
            </w:pPr>
          </w:p>
          <w:p w14:paraId="753A5E06"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Zastúpený:                       </w:t>
            </w:r>
            <w:r>
              <w:rPr>
                <w:rFonts w:ascii="Calibri" w:hAnsi="Calibri" w:cs="Calibri"/>
              </w:rPr>
              <w:tab/>
            </w:r>
            <w:r>
              <w:rPr>
                <w:rFonts w:ascii="Calibri" w:hAnsi="Calibri" w:cs="Calibri"/>
              </w:rPr>
              <w:tab/>
            </w:r>
          </w:p>
          <w:p w14:paraId="5B361080"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423F64F"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IČ DPH: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32AD1F8C"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Bankové spojenie - IBAN:</w:t>
            </w:r>
            <w:r>
              <w:rPr>
                <w:rFonts w:ascii="Calibri" w:hAnsi="Calibri" w:cs="Calibri"/>
              </w:rPr>
              <w:tab/>
            </w:r>
            <w:r>
              <w:rPr>
                <w:rFonts w:ascii="Calibri" w:hAnsi="Calibri" w:cs="Calibri"/>
              </w:rPr>
              <w:tab/>
            </w:r>
          </w:p>
          <w:p w14:paraId="586DF337" w14:textId="36A01873" w:rsidR="00197393" w:rsidRPr="004746C2" w:rsidRDefault="00197393" w:rsidP="00197393">
            <w:pPr>
              <w:pStyle w:val="Normlny1"/>
              <w:widowControl w:val="0"/>
              <w:tabs>
                <w:tab w:val="left" w:pos="0"/>
              </w:tabs>
              <w:spacing w:line="240" w:lineRule="auto"/>
              <w:jc w:val="both"/>
              <w:rPr>
                <w:rFonts w:asciiTheme="minorHAnsi" w:hAnsiTheme="minorHAnsi" w:cstheme="minorHAnsi"/>
              </w:rPr>
            </w:pPr>
            <w:r>
              <w:rPr>
                <w:rFonts w:ascii="Calibri" w:hAnsi="Calibri" w:cs="Calibri"/>
              </w:rPr>
              <w:t>BIC:</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p>
        </w:tc>
        <w:tc>
          <w:tcPr>
            <w:tcW w:w="5528" w:type="dxa"/>
            <w:tcBorders>
              <w:left w:val="single" w:sz="4" w:space="0" w:color="FFFFFF" w:themeColor="background1"/>
            </w:tcBorders>
          </w:tcPr>
          <w:p w14:paraId="67537252" w14:textId="77777777" w:rsidR="00197393" w:rsidRDefault="00197393" w:rsidP="00197393">
            <w:pPr>
              <w:spacing w:line="240" w:lineRule="auto"/>
              <w:rPr>
                <w:rFonts w:ascii="Calibri" w:hAnsi="Calibri" w:cs="Calibri"/>
              </w:rPr>
            </w:pPr>
            <w:r>
              <w:rPr>
                <w:rFonts w:ascii="Calibri" w:hAnsi="Calibri" w:cs="Calibri"/>
                <w:b/>
              </w:rPr>
              <w:t>Verejné prístavy, a. s.</w:t>
            </w:r>
          </w:p>
          <w:p w14:paraId="0755AC21" w14:textId="77777777" w:rsidR="00197393" w:rsidRDefault="00197393" w:rsidP="00197393">
            <w:pPr>
              <w:spacing w:line="240" w:lineRule="auto"/>
              <w:rPr>
                <w:rFonts w:ascii="Calibri" w:hAnsi="Calibri" w:cs="Calibri"/>
              </w:rPr>
            </w:pPr>
            <w:r>
              <w:rPr>
                <w:rFonts w:ascii="Calibri" w:hAnsi="Calibri" w:cs="Calibri"/>
              </w:rPr>
              <w:t>Prístavná 10, 821 09 Bratislava</w:t>
            </w:r>
          </w:p>
          <w:p w14:paraId="7CB91685" w14:textId="77777777" w:rsidR="00197393" w:rsidRDefault="00197393" w:rsidP="00197393">
            <w:pPr>
              <w:spacing w:line="240" w:lineRule="auto"/>
              <w:rPr>
                <w:rFonts w:ascii="Calibri" w:hAnsi="Calibri" w:cs="Calibri"/>
              </w:rPr>
            </w:pPr>
            <w:r>
              <w:rPr>
                <w:rFonts w:ascii="Calibri" w:hAnsi="Calibri" w:cs="Calibri"/>
              </w:rPr>
              <w:t>36 856 541</w:t>
            </w:r>
          </w:p>
          <w:p w14:paraId="63A1F6C8"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Obchodný register Mestského súdu Bratislava III, </w:t>
            </w:r>
          </w:p>
          <w:p w14:paraId="57854A45"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Oddiel: Sa, Vložka číslo: 4395/B</w:t>
            </w:r>
          </w:p>
          <w:p w14:paraId="2F7F1D52"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Mgr. Matej Danóci, jediný člen predstavenstva</w:t>
            </w:r>
          </w:p>
          <w:p w14:paraId="3A94ADFA"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2022534008</w:t>
            </w:r>
          </w:p>
          <w:p w14:paraId="74E32BD4"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SK2022534008</w:t>
            </w:r>
          </w:p>
          <w:p w14:paraId="4A156651"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SK20 7500 0000 0002 2516 6853</w:t>
            </w:r>
          </w:p>
          <w:p w14:paraId="6C0ED1F4" w14:textId="32030678" w:rsidR="00197393" w:rsidRPr="004746C2" w:rsidRDefault="00197393" w:rsidP="00197393">
            <w:pPr>
              <w:pStyle w:val="Normlny1"/>
              <w:widowControl w:val="0"/>
              <w:tabs>
                <w:tab w:val="left" w:pos="0"/>
              </w:tabs>
              <w:spacing w:line="240" w:lineRule="auto"/>
              <w:jc w:val="both"/>
              <w:rPr>
                <w:rFonts w:asciiTheme="minorHAnsi" w:hAnsiTheme="minorHAnsi" w:cstheme="minorHAnsi"/>
              </w:rPr>
            </w:pPr>
            <w:r>
              <w:rPr>
                <w:rFonts w:ascii="Calibri" w:hAnsi="Calibri" w:cs="Calibri"/>
              </w:rPr>
              <w:t>CEKOSKBX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2202BAE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w:t>
      </w:r>
      <w:r w:rsidR="004921AB">
        <w:rPr>
          <w:rFonts w:asciiTheme="minorHAnsi" w:hAnsiTheme="minorHAnsi" w:cstheme="minorHAnsi"/>
        </w:rPr>
        <w:t>4</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0EE05B38"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bookmarkStart w:id="4" w:name="_Hlk31786609"/>
      <w:r w:rsidR="00021953" w:rsidRPr="00212928">
        <w:rPr>
          <w:rFonts w:asciiTheme="minorHAnsi" w:hAnsiTheme="minorHAnsi" w:cstheme="minorHAnsi"/>
        </w:rPr>
        <w:t>OP</w:t>
      </w:r>
      <w:bookmarkEnd w:id="4"/>
      <w:r w:rsidR="00963868">
        <w:rPr>
          <w:rFonts w:asciiTheme="minorHAnsi" w:hAnsiTheme="minorHAnsi" w:cstheme="minorHAnsi"/>
        </w:rPr>
        <w:t xml:space="preserve">ŠT </w:t>
      </w:r>
      <w:r w:rsidR="00A75529">
        <w:rPr>
          <w:rFonts w:asciiTheme="minorHAnsi" w:hAnsiTheme="minorHAnsi" w:cstheme="minorHAnsi"/>
        </w:rPr>
        <w:t>6</w:t>
      </w:r>
      <w:r w:rsidRPr="0021292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58859E4"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963868">
        <w:rPr>
          <w:rFonts w:asciiTheme="minorHAnsi" w:hAnsiTheme="minorHAnsi" w:cstheme="minorHAnsi"/>
        </w:rPr>
        <w:t>Štúrovo</w:t>
      </w:r>
      <w:r w:rsidRPr="00212928">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4B715059" w:rsidR="00585A48" w:rsidRPr="004746C2" w:rsidRDefault="00BF2621" w:rsidP="009D7AA8">
      <w:pPr>
        <w:pStyle w:val="Normlny1"/>
        <w:spacing w:before="120"/>
        <w:ind w:left="720"/>
        <w:jc w:val="both"/>
        <w:rPr>
          <w:rFonts w:asciiTheme="minorHAnsi" w:hAnsiTheme="minorHAnsi" w:cstheme="minorHAnsi"/>
        </w:rPr>
      </w:pPr>
      <w:r w:rsidRPr="00974484">
        <w:rPr>
          <w:rFonts w:asciiTheme="minorHAnsi" w:hAnsiTheme="minorHAnsi" w:cstheme="minorHAnsi"/>
          <w:b/>
          <w:i/>
          <w:u w:val="single"/>
        </w:rPr>
        <w:t>Zmluva o zriadení záložného práva</w:t>
      </w:r>
      <w:r w:rsidRPr="00974484">
        <w:rPr>
          <w:rFonts w:asciiTheme="minorHAnsi" w:hAnsiTheme="minorHAnsi" w:cstheme="minorHAnsi"/>
          <w:i/>
          <w:u w:val="single"/>
        </w:rPr>
        <w:t xml:space="preserve"> </w:t>
      </w:r>
      <w:r w:rsidR="00A842C8" w:rsidRPr="00974484">
        <w:rPr>
          <w:rFonts w:asciiTheme="minorHAnsi" w:hAnsiTheme="minorHAnsi" w:cstheme="minorHAnsi"/>
          <w:i/>
          <w:u w:val="single"/>
        </w:rPr>
        <w:t xml:space="preserve">znamená </w:t>
      </w:r>
      <w:r w:rsidRPr="00974484">
        <w:rPr>
          <w:rFonts w:asciiTheme="minorHAnsi" w:hAnsiTheme="minorHAnsi" w:cstheme="minorHAnsi"/>
          <w:i/>
          <w:u w:val="single"/>
        </w:rPr>
        <w:t>zmluv</w:t>
      </w:r>
      <w:r w:rsidR="00A842C8" w:rsidRPr="00974484">
        <w:rPr>
          <w:rFonts w:asciiTheme="minorHAnsi" w:hAnsiTheme="minorHAnsi" w:cstheme="minorHAnsi"/>
          <w:i/>
          <w:u w:val="single"/>
        </w:rPr>
        <w:t>u</w:t>
      </w:r>
      <w:r w:rsidR="00530B19" w:rsidRPr="00974484">
        <w:rPr>
          <w:rFonts w:asciiTheme="minorHAnsi" w:hAnsiTheme="minorHAnsi" w:cstheme="minorHAnsi"/>
          <w:i/>
          <w:u w:val="single"/>
        </w:rPr>
        <w:t xml:space="preserve"> o zriadení záložného práv</w:t>
      </w:r>
      <w:r w:rsidR="00E0166B" w:rsidRPr="00974484">
        <w:rPr>
          <w:rFonts w:asciiTheme="minorHAnsi" w:hAnsiTheme="minorHAnsi" w:cstheme="minorHAnsi"/>
          <w:i/>
          <w:u w:val="single"/>
        </w:rPr>
        <w:t>a</w:t>
      </w:r>
      <w:r w:rsidR="00530B19" w:rsidRPr="00974484">
        <w:rPr>
          <w:rFonts w:asciiTheme="minorHAnsi" w:hAnsiTheme="minorHAnsi" w:cstheme="minorHAnsi"/>
          <w:i/>
          <w:u w:val="single"/>
        </w:rPr>
        <w:t xml:space="preserve"> Budúcim užívateľom k Plávajúcemu zariadeniu na zabezpečenie pohľadávok Prevádzkovateľa </w:t>
      </w:r>
      <w:bookmarkStart w:id="5" w:name="_Hlk173162191"/>
      <w:r w:rsidR="00E917B4" w:rsidRPr="00974484">
        <w:rPr>
          <w:rFonts w:asciiTheme="minorHAnsi" w:hAnsiTheme="minorHAnsi" w:cstheme="minorHAnsi"/>
          <w:i/>
          <w:u w:val="single"/>
        </w:rPr>
        <w:t>voči Budúcemu užívateľovi z tejto Zmluvy, zo Zmluvy o užívaní verejných prístavov a z titulu ich zániku</w:t>
      </w:r>
      <w:bookmarkEnd w:id="5"/>
      <w:r w:rsidRPr="00974484">
        <w:rPr>
          <w:rFonts w:asciiTheme="minorHAnsi" w:hAnsiTheme="minorHAnsi" w:cstheme="minorHAnsi"/>
          <w:i/>
          <w:u w:val="single"/>
        </w:rPr>
        <w:t>, ktorej znenie je uvedené v Prílohe č. 2 k tejto Zmluve</w:t>
      </w:r>
      <w:r w:rsidR="009D7AA8" w:rsidRPr="00974484">
        <w:rPr>
          <w:rFonts w:asciiTheme="minorHAnsi" w:hAnsiTheme="minorHAnsi" w:cstheme="minorHAnsi"/>
          <w:b/>
        </w:rPr>
        <w:t>.</w:t>
      </w:r>
      <w:r w:rsidR="00D63E1B" w:rsidRPr="00974484">
        <w:rPr>
          <w:rStyle w:val="Odkaznapoznmkupodiarou"/>
          <w:rFonts w:asciiTheme="minorHAnsi" w:hAnsiTheme="minorHAnsi" w:cstheme="minorHAnsi"/>
          <w:b/>
        </w:rPr>
        <w:footnoteReference w:id="1"/>
      </w:r>
    </w:p>
    <w:p w14:paraId="4D49C4B4" w14:textId="259858A2"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4921AB">
        <w:rPr>
          <w:rFonts w:asciiTheme="minorHAnsi" w:hAnsiTheme="minorHAnsi" w:cstheme="minorHAnsi"/>
        </w:rPr>
        <w:t>4</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w:t>
      </w:r>
      <w:r w:rsidR="00377A39" w:rsidRPr="004746C2">
        <w:rPr>
          <w:rFonts w:asciiTheme="minorHAnsi" w:hAnsiTheme="minorHAnsi" w:cstheme="minorHAnsi"/>
        </w:rPr>
        <w:lastRenderedPageBreak/>
        <w:t xml:space="preserve">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4E584B" w:rsidR="00306725" w:rsidRPr="00974484"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w:t>
      </w:r>
      <w:r w:rsidR="003C6B16">
        <w:rPr>
          <w:rFonts w:asciiTheme="minorHAnsi" w:hAnsiTheme="minorHAnsi" w:cstheme="minorHAnsi"/>
        </w:rPr>
        <w:t>5 rokov</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974484">
        <w:rPr>
          <w:rFonts w:asciiTheme="minorHAnsi" w:hAnsiTheme="minorHAnsi" w:cstheme="minorHAnsi"/>
        </w:rPr>
        <w:t xml:space="preserve">však po dobu </w:t>
      </w:r>
      <w:r w:rsidR="00DA0BED" w:rsidRPr="00974484">
        <w:rPr>
          <w:rFonts w:asciiTheme="minorHAnsi" w:hAnsiTheme="minorHAnsi" w:cstheme="minorHAnsi"/>
        </w:rPr>
        <w:t xml:space="preserve">platnosti </w:t>
      </w:r>
      <w:r w:rsidRPr="00974484">
        <w:rPr>
          <w:rFonts w:asciiTheme="minorHAnsi" w:hAnsiTheme="minorHAnsi" w:cstheme="minorHAnsi"/>
        </w:rPr>
        <w:t xml:space="preserve">povolenia na státie Plávajúceho zariadenia podľa rozhodnutia vydaného </w:t>
      </w:r>
      <w:r w:rsidR="00DA0BED" w:rsidRPr="00974484">
        <w:rPr>
          <w:rFonts w:asciiTheme="minorHAnsi" w:hAnsiTheme="minorHAnsi" w:cstheme="minorHAnsi"/>
        </w:rPr>
        <w:t>D</w:t>
      </w:r>
      <w:r w:rsidRPr="00974484">
        <w:rPr>
          <w:rFonts w:asciiTheme="minorHAnsi" w:hAnsiTheme="minorHAnsi" w:cstheme="minorHAnsi"/>
        </w:rPr>
        <w:t>opravným úradom</w:t>
      </w:r>
      <w:r w:rsidR="002C34E5" w:rsidRPr="00974484">
        <w:rPr>
          <w:rFonts w:asciiTheme="minorHAnsi" w:hAnsiTheme="minorHAnsi" w:cstheme="minorHAnsi"/>
        </w:rPr>
        <w:t xml:space="preserve"> (pre odstránenie pochybností, ak má uplynúť doba platnosti povolenia na státie pred termínom ..., Zmluva trvá len po dobu platnosti povolenia na státie vydaného Dopravným úradom)</w:t>
      </w:r>
      <w:r w:rsidRPr="00974484">
        <w:rPr>
          <w:rFonts w:asciiTheme="minorHAnsi" w:hAnsiTheme="minorHAnsi" w:cstheme="minorHAnsi"/>
        </w:rPr>
        <w:t>;</w:t>
      </w:r>
    </w:p>
    <w:p w14:paraId="3C679961" w14:textId="6AD1BD9A" w:rsidR="00E917B4" w:rsidRPr="00974484" w:rsidRDefault="008B2726" w:rsidP="008B2726">
      <w:pPr>
        <w:pStyle w:val="Normlny11"/>
        <w:numPr>
          <w:ilvl w:val="0"/>
          <w:numId w:val="8"/>
        </w:numPr>
        <w:spacing w:before="120" w:after="120"/>
        <w:jc w:val="both"/>
        <w:rPr>
          <w:rFonts w:asciiTheme="minorHAnsi" w:hAnsiTheme="minorHAnsi" w:cstheme="minorHAnsi"/>
          <w:iCs/>
        </w:rPr>
      </w:pPr>
      <w:bookmarkStart w:id="6" w:name="_Hlk173162358"/>
      <w:r w:rsidRPr="00974484">
        <w:rPr>
          <w:rFonts w:asciiTheme="minorHAnsi" w:hAnsiTheme="minorHAnsi" w:cstheme="minorHAnsi"/>
          <w:iCs/>
        </w:rPr>
        <w:t>Ak po nadobudnutí účinnosti Zmluvy o užívaní verejných prístavov bude Budúci užívateľ   užívať inžinierske siete, vyväzovacie prvky a zariadenia pre plavidlá a plávajúce zariadenia a ostatné vybavenie a zariadenie prístavnej polohy (vrátane stavieb) vybudované na prístavnej polohe (ďalej spolu</w:t>
      </w:r>
      <w:r w:rsidR="0064214A" w:rsidRPr="00974484">
        <w:rPr>
          <w:rFonts w:asciiTheme="minorHAnsi" w:hAnsiTheme="minorHAnsi" w:cstheme="minorHAnsi"/>
          <w:iCs/>
        </w:rPr>
        <w:t xml:space="preserve"> len</w:t>
      </w:r>
      <w:r w:rsidRPr="00974484">
        <w:rPr>
          <w:rFonts w:asciiTheme="minorHAnsi" w:hAnsiTheme="minorHAnsi" w:cstheme="minorHAnsi"/>
          <w:iCs/>
        </w:rPr>
        <w:t xml:space="preserve"> ako „</w:t>
      </w:r>
      <w:r w:rsidRPr="00974484">
        <w:rPr>
          <w:rFonts w:asciiTheme="minorHAnsi" w:hAnsiTheme="minorHAnsi" w:cstheme="minorHAnsi"/>
          <w:b/>
          <w:bCs/>
          <w:i/>
        </w:rPr>
        <w:t>vybavenie a zariadenie prístavnej polohy</w:t>
      </w:r>
      <w:r w:rsidRPr="00974484">
        <w:rPr>
          <w:rFonts w:asciiTheme="minorHAnsi" w:hAnsiTheme="minorHAnsi" w:cstheme="minorHAnsi"/>
          <w:iCs/>
        </w:rPr>
        <w:t>“), tak je povinný toto vybavenie a zariadenie prístavnej polohy užívať v súlade s príslušnými platnými právnymi predpismi, pričom bude Budúci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6"/>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974484"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w:t>
      </w:r>
      <w:r w:rsidRPr="00974484">
        <w:rPr>
          <w:rFonts w:asciiTheme="minorHAnsi" w:hAnsiTheme="minorHAnsi" w:cstheme="minorHAnsi"/>
        </w:rPr>
        <w:t xml:space="preserve">skutkovým a právnym stavom aktuálnym ku dňu jej uzatvorenia. </w:t>
      </w:r>
    </w:p>
    <w:p w14:paraId="1B590351" w14:textId="016641A2" w:rsidR="00F94E12" w:rsidRPr="00974484" w:rsidRDefault="00BF2621"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V</w:t>
      </w:r>
      <w:r w:rsidR="00F855B4" w:rsidRPr="00974484">
        <w:rPr>
          <w:rFonts w:asciiTheme="minorHAnsi" w:hAnsiTheme="minorHAnsi" w:cstheme="minorHAnsi"/>
        </w:rPr>
        <w:t xml:space="preserve"> prípade, ak Budúci užívateľ nevyzve Prevádzkovateľa na uzavretie Zmluvy o užívaní verejných prístavov v lehote a spôsobom uvedeným v tejto Zmluv</w:t>
      </w:r>
      <w:r w:rsidRPr="00974484">
        <w:rPr>
          <w:rFonts w:asciiTheme="minorHAnsi" w:hAnsiTheme="minorHAnsi" w:cstheme="minorHAnsi"/>
        </w:rPr>
        <w:t>e</w:t>
      </w:r>
      <w:r w:rsidR="00F855B4" w:rsidRPr="00974484">
        <w:rPr>
          <w:rFonts w:asciiTheme="minorHAnsi" w:hAnsiTheme="minorHAnsi" w:cstheme="minorHAnsi"/>
        </w:rPr>
        <w:t xml:space="preserve">, </w:t>
      </w:r>
      <w:r w:rsidRPr="00974484">
        <w:rPr>
          <w:rFonts w:asciiTheme="minorHAnsi" w:hAnsiTheme="minorHAnsi" w:cstheme="minorHAnsi"/>
        </w:rPr>
        <w:t>povinnosť Prevádzkovateľa uzatvoriť Zmluvu o užívaní verejných prístavov zanikne</w:t>
      </w:r>
      <w:r w:rsidR="00DA0BED" w:rsidRPr="00974484">
        <w:rPr>
          <w:rFonts w:asciiTheme="minorHAnsi" w:hAnsiTheme="minorHAnsi" w:cstheme="minorHAnsi"/>
        </w:rPr>
        <w:t>.</w:t>
      </w:r>
    </w:p>
    <w:p w14:paraId="235F30F9" w14:textId="1F0E1028" w:rsidR="006576BA" w:rsidRPr="00974484" w:rsidRDefault="00B80A12" w:rsidP="00B80A12">
      <w:pPr>
        <w:pStyle w:val="Normlny10"/>
        <w:keepNext/>
        <w:numPr>
          <w:ilvl w:val="0"/>
          <w:numId w:val="7"/>
        </w:numPr>
        <w:spacing w:before="240" w:after="240"/>
        <w:ind w:left="0" w:firstLine="0"/>
        <w:rPr>
          <w:rFonts w:asciiTheme="minorHAnsi" w:hAnsiTheme="minorHAnsi" w:cstheme="minorHAnsi"/>
          <w:b/>
        </w:rPr>
      </w:pPr>
      <w:r w:rsidRPr="00974484">
        <w:rPr>
          <w:rFonts w:asciiTheme="minorHAnsi" w:hAnsiTheme="minorHAnsi" w:cstheme="minorHAnsi"/>
          <w:b/>
        </w:rPr>
        <w:t>KAUCIA</w:t>
      </w:r>
    </w:p>
    <w:p w14:paraId="538B423E" w14:textId="7A02FB74" w:rsidR="00BF2621" w:rsidRPr="00974484" w:rsidRDefault="002F18FF" w:rsidP="002326A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Budúci užívateľ je povinný </w:t>
      </w:r>
      <w:r w:rsidR="00E16952" w:rsidRPr="00974484">
        <w:rPr>
          <w:rFonts w:asciiTheme="minorHAnsi" w:hAnsiTheme="minorHAnsi" w:cstheme="minorHAnsi"/>
        </w:rPr>
        <w:t xml:space="preserve">zložiť u </w:t>
      </w:r>
      <w:r w:rsidRPr="00974484">
        <w:rPr>
          <w:rFonts w:asciiTheme="minorHAnsi" w:hAnsiTheme="minorHAnsi" w:cstheme="minorHAnsi"/>
        </w:rPr>
        <w:t>Prevádzkovateľ</w:t>
      </w:r>
      <w:r w:rsidR="00E16952" w:rsidRPr="00974484">
        <w:rPr>
          <w:rFonts w:asciiTheme="minorHAnsi" w:hAnsiTheme="minorHAnsi" w:cstheme="minorHAnsi"/>
        </w:rPr>
        <w:t>a</w:t>
      </w:r>
      <w:r w:rsidRPr="00974484">
        <w:rPr>
          <w:rFonts w:asciiTheme="minorHAnsi" w:hAnsiTheme="minorHAnsi" w:cstheme="minorHAnsi"/>
        </w:rPr>
        <w:t xml:space="preserve"> kauciu</w:t>
      </w:r>
      <w:r w:rsidR="00A67918" w:rsidRPr="00974484">
        <w:rPr>
          <w:rFonts w:asciiTheme="minorHAnsi" w:hAnsiTheme="minorHAnsi" w:cstheme="minorHAnsi"/>
        </w:rPr>
        <w:t xml:space="preserve"> </w:t>
      </w:r>
      <w:r w:rsidRPr="00974484">
        <w:rPr>
          <w:rFonts w:asciiTheme="minorHAnsi" w:hAnsiTheme="minorHAnsi" w:cstheme="minorHAnsi"/>
        </w:rPr>
        <w:t xml:space="preserve">vo výške </w:t>
      </w:r>
      <w:r w:rsidR="00F504A2" w:rsidRPr="00974484">
        <w:rPr>
          <w:rFonts w:asciiTheme="minorHAnsi" w:hAnsiTheme="minorHAnsi" w:cstheme="minorHAnsi"/>
        </w:rPr>
        <w:t>P</w:t>
      </w:r>
      <w:r w:rsidRPr="00974484">
        <w:rPr>
          <w:rFonts w:asciiTheme="minorHAnsi" w:hAnsiTheme="minorHAnsi" w:cstheme="minorHAnsi"/>
        </w:rPr>
        <w:t>oplatk</w:t>
      </w:r>
      <w:r w:rsidR="00F531C8" w:rsidRPr="00974484">
        <w:rPr>
          <w:rFonts w:asciiTheme="minorHAnsi" w:hAnsiTheme="minorHAnsi" w:cstheme="minorHAnsi"/>
        </w:rPr>
        <w:t>u</w:t>
      </w:r>
      <w:r w:rsidRPr="00974484">
        <w:rPr>
          <w:rFonts w:asciiTheme="minorHAnsi" w:hAnsiTheme="minorHAnsi" w:cstheme="minorHAnsi"/>
        </w:rPr>
        <w:t xml:space="preserve"> za </w:t>
      </w:r>
      <w:r w:rsidR="00F504A2" w:rsidRPr="00974484">
        <w:rPr>
          <w:rFonts w:asciiTheme="minorHAnsi" w:hAnsiTheme="minorHAnsi" w:cstheme="minorHAnsi"/>
        </w:rPr>
        <w:t>prístavnú polohu</w:t>
      </w:r>
      <w:r w:rsidR="00E16952" w:rsidRPr="00974484">
        <w:rPr>
          <w:rFonts w:asciiTheme="minorHAnsi" w:hAnsiTheme="minorHAnsi" w:cstheme="minorHAnsi"/>
        </w:rPr>
        <w:t>, ktorý pripadá</w:t>
      </w:r>
      <w:r w:rsidRPr="00974484">
        <w:rPr>
          <w:rFonts w:asciiTheme="minorHAnsi" w:hAnsiTheme="minorHAnsi" w:cstheme="minorHAnsi"/>
        </w:rPr>
        <w:t xml:space="preserve"> </w:t>
      </w:r>
      <w:r w:rsidR="00F504A2" w:rsidRPr="00974484">
        <w:rPr>
          <w:rFonts w:asciiTheme="minorHAnsi" w:hAnsiTheme="minorHAnsi" w:cstheme="minorHAnsi"/>
        </w:rPr>
        <w:t>na</w:t>
      </w:r>
      <w:r w:rsidR="00462856" w:rsidRPr="00974484">
        <w:rPr>
          <w:rFonts w:asciiTheme="minorHAnsi" w:hAnsiTheme="minorHAnsi" w:cstheme="minorHAnsi"/>
        </w:rPr>
        <w:t> prv</w:t>
      </w:r>
      <w:r w:rsidR="00F504A2" w:rsidRPr="00974484">
        <w:rPr>
          <w:rFonts w:asciiTheme="minorHAnsi" w:hAnsiTheme="minorHAnsi" w:cstheme="minorHAnsi"/>
        </w:rPr>
        <w:t>ý</w:t>
      </w:r>
      <w:r w:rsidR="00462856" w:rsidRPr="00974484">
        <w:rPr>
          <w:rFonts w:asciiTheme="minorHAnsi" w:hAnsiTheme="minorHAnsi" w:cstheme="minorHAnsi"/>
        </w:rPr>
        <w:t xml:space="preserve"> rok používania Verejného prístavu</w:t>
      </w:r>
      <w:r w:rsidR="00614F5F" w:rsidRPr="00974484">
        <w:rPr>
          <w:rFonts w:asciiTheme="minorHAnsi" w:hAnsiTheme="minorHAnsi" w:cstheme="minorHAnsi"/>
        </w:rPr>
        <w:t>.</w:t>
      </w:r>
      <w:r w:rsidRPr="00974484">
        <w:rPr>
          <w:rFonts w:asciiTheme="minorHAnsi" w:hAnsiTheme="minorHAnsi" w:cstheme="minorHAnsi"/>
        </w:rPr>
        <w:t xml:space="preserve"> Túto kauciu je povinný </w:t>
      </w:r>
      <w:r w:rsidR="00E16952" w:rsidRPr="00974484">
        <w:rPr>
          <w:rFonts w:asciiTheme="minorHAnsi" w:hAnsiTheme="minorHAnsi" w:cstheme="minorHAnsi"/>
        </w:rPr>
        <w:t xml:space="preserve">zložiť </w:t>
      </w:r>
      <w:r w:rsidRPr="00974484">
        <w:rPr>
          <w:rFonts w:asciiTheme="minorHAnsi" w:hAnsiTheme="minorHAnsi" w:cstheme="minorHAnsi"/>
        </w:rPr>
        <w:t xml:space="preserve">do štrnástich (14) dní odo dňa nadobudnutia účinnosti tejto Zmluvy </w:t>
      </w:r>
      <w:r w:rsidR="00E16952" w:rsidRPr="00974484">
        <w:rPr>
          <w:rFonts w:asciiTheme="minorHAnsi" w:hAnsiTheme="minorHAnsi" w:cstheme="minorHAnsi"/>
        </w:rPr>
        <w:t xml:space="preserve">peňažným </w:t>
      </w:r>
      <w:r w:rsidRPr="00974484">
        <w:rPr>
          <w:rFonts w:asciiTheme="minorHAnsi" w:hAnsiTheme="minorHAnsi" w:cstheme="minorHAnsi"/>
        </w:rPr>
        <w:t xml:space="preserve">prevodom na </w:t>
      </w:r>
      <w:r w:rsidR="00E16952" w:rsidRPr="00974484">
        <w:rPr>
          <w:rFonts w:asciiTheme="minorHAnsi" w:hAnsiTheme="minorHAnsi" w:cstheme="minorHAnsi"/>
        </w:rPr>
        <w:t xml:space="preserve">bežný </w:t>
      </w:r>
      <w:r w:rsidRPr="00974484">
        <w:rPr>
          <w:rFonts w:asciiTheme="minorHAnsi" w:hAnsiTheme="minorHAnsi" w:cstheme="minorHAnsi"/>
        </w:rPr>
        <w:lastRenderedPageBreak/>
        <w:t xml:space="preserve">účet Prevádzkovateľa uvedený v záhlaví tejto Zmluvy. Prevádzkovateľ je oprávnený použiť kauciu na </w:t>
      </w:r>
      <w:r w:rsidR="00E917B4" w:rsidRPr="00974484">
        <w:rPr>
          <w:rFonts w:asciiTheme="minorHAnsi" w:hAnsiTheme="minorHAnsi" w:cstheme="minorHAnsi"/>
        </w:rPr>
        <w:t>uspokojenie - započítanie svojich pohľadávok voči Budúcemu užívateľovi</w:t>
      </w:r>
      <w:r w:rsidR="00AF0766" w:rsidRPr="00974484">
        <w:rPr>
          <w:rFonts w:asciiTheme="minorHAnsi" w:hAnsiTheme="minorHAnsi" w:cstheme="minorHAnsi"/>
        </w:rPr>
        <w:t>, ktoré mu vznikli</w:t>
      </w:r>
      <w:r w:rsidR="00E917B4" w:rsidRPr="00974484">
        <w:rPr>
          <w:rFonts w:asciiTheme="minorHAnsi" w:hAnsiTheme="minorHAnsi" w:cstheme="minorHAnsi"/>
        </w:rPr>
        <w:t xml:space="preserve"> z tejto Zmluvy, zo Zmluvy o užívaní verejných prístavov a z titulu ich zániku</w:t>
      </w:r>
      <w:r w:rsidRPr="00974484">
        <w:rPr>
          <w:rFonts w:asciiTheme="minorHAnsi" w:hAnsiTheme="minorHAnsi" w:cstheme="minorHAnsi"/>
        </w:rPr>
        <w:t xml:space="preserve">. </w:t>
      </w:r>
      <w:r w:rsidR="00A86ACA" w:rsidRPr="00974484">
        <w:rPr>
          <w:rFonts w:asciiTheme="minorHAnsi" w:hAnsiTheme="minorHAnsi" w:cstheme="minorHAnsi"/>
        </w:rPr>
        <w:t xml:space="preserve">V prípade použitia kaucie, je Budúci Užívateľ povinný doplniť kauciu do pôvodnej výšky do 10 dní, odkedy ho na to Prevádzkovateľ vyzve. </w:t>
      </w:r>
      <w:r w:rsidRPr="00974484">
        <w:rPr>
          <w:rFonts w:asciiTheme="minorHAnsi" w:hAnsiTheme="minorHAnsi" w:cstheme="minorHAnsi"/>
        </w:rPr>
        <w:t xml:space="preserve">Po skončení užívania Prístavnej polohy </w:t>
      </w:r>
      <w:r w:rsidR="00E16952" w:rsidRPr="00974484">
        <w:rPr>
          <w:rFonts w:asciiTheme="minorHAnsi" w:hAnsiTheme="minorHAnsi" w:cstheme="minorHAnsi"/>
        </w:rPr>
        <w:t xml:space="preserve">je </w:t>
      </w:r>
      <w:r w:rsidRPr="00974484">
        <w:rPr>
          <w:rFonts w:asciiTheme="minorHAnsi" w:hAnsiTheme="minorHAnsi" w:cstheme="minorHAnsi"/>
        </w:rPr>
        <w:t xml:space="preserve">Prevádzkovateľ </w:t>
      </w:r>
      <w:r w:rsidR="00E16952" w:rsidRPr="00974484">
        <w:rPr>
          <w:rFonts w:asciiTheme="minorHAnsi" w:hAnsiTheme="minorHAnsi" w:cstheme="minorHAnsi"/>
        </w:rPr>
        <w:t xml:space="preserve">povinný </w:t>
      </w:r>
      <w:r w:rsidRPr="00974484">
        <w:rPr>
          <w:rFonts w:asciiTheme="minorHAnsi" w:hAnsiTheme="minorHAnsi" w:cstheme="minorHAnsi"/>
        </w:rPr>
        <w:t xml:space="preserve">vrátiť Budúcemu užívateľovi uhradenú kauciu, resp. jej časť </w:t>
      </w:r>
      <w:r w:rsidR="00E16952" w:rsidRPr="00974484">
        <w:rPr>
          <w:rFonts w:asciiTheme="minorHAnsi" w:hAnsiTheme="minorHAnsi" w:cstheme="minorHAnsi"/>
        </w:rPr>
        <w:t xml:space="preserve">zostávajúcu </w:t>
      </w:r>
      <w:r w:rsidRPr="00974484">
        <w:rPr>
          <w:rFonts w:asciiTheme="minorHAnsi" w:hAnsiTheme="minorHAnsi" w:cstheme="minorHAnsi"/>
        </w:rPr>
        <w:t>po započítaní pohľadávok Prevádzkovateľa</w:t>
      </w:r>
      <w:r w:rsidR="009D7AA8" w:rsidRPr="00974484">
        <w:rPr>
          <w:rFonts w:asciiTheme="minorHAnsi" w:hAnsiTheme="minorHAnsi" w:cstheme="minorHAnsi"/>
        </w:rPr>
        <w:t xml:space="preserve"> do štrnástich (14) po zániku tejto Zmluvy</w:t>
      </w:r>
      <w:r w:rsidRPr="00974484">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Povinnosť zložiť kauciu v peniazoch podľa </w:t>
      </w:r>
      <w:r w:rsidR="000D1B95" w:rsidRPr="00974484">
        <w:rPr>
          <w:rFonts w:asciiTheme="minorHAnsi" w:hAnsiTheme="minorHAnsi" w:cstheme="minorHAnsi"/>
        </w:rPr>
        <w:t>predchádzajúc</w:t>
      </w:r>
      <w:r w:rsidR="00614F5F" w:rsidRPr="00974484">
        <w:rPr>
          <w:rFonts w:asciiTheme="minorHAnsi" w:hAnsiTheme="minorHAnsi" w:cstheme="minorHAnsi"/>
        </w:rPr>
        <w:t>eho</w:t>
      </w:r>
      <w:r w:rsidR="000D1B95" w:rsidRPr="00974484">
        <w:rPr>
          <w:rFonts w:asciiTheme="minorHAnsi" w:hAnsiTheme="minorHAnsi" w:cstheme="minorHAnsi"/>
        </w:rPr>
        <w:t xml:space="preserve"> odsek</w:t>
      </w:r>
      <w:r w:rsidR="00614F5F" w:rsidRPr="00974484">
        <w:rPr>
          <w:rFonts w:asciiTheme="minorHAnsi" w:hAnsiTheme="minorHAnsi" w:cstheme="minorHAnsi"/>
        </w:rPr>
        <w:t>u</w:t>
      </w:r>
      <w:r w:rsidRPr="00974484">
        <w:rPr>
          <w:rFonts w:asciiTheme="minorHAnsi" w:hAnsiTheme="minorHAnsi" w:cstheme="minorHAnsi"/>
        </w:rPr>
        <w:t xml:space="preserve"> možno </w:t>
      </w:r>
      <w:r w:rsidR="00E16952" w:rsidRPr="00974484">
        <w:rPr>
          <w:rFonts w:asciiTheme="minorHAnsi" w:hAnsiTheme="minorHAnsi" w:cstheme="minorHAnsi"/>
        </w:rPr>
        <w:t xml:space="preserve">splniť aj </w:t>
      </w:r>
      <w:r w:rsidRPr="00974484">
        <w:rPr>
          <w:rFonts w:asciiTheme="minorHAnsi" w:hAnsiTheme="minorHAnsi" w:cstheme="minorHAnsi"/>
        </w:rPr>
        <w:t>poskytnutí</w:t>
      </w:r>
      <w:r w:rsidR="001C5DFA" w:rsidRPr="00974484">
        <w:rPr>
          <w:rFonts w:asciiTheme="minorHAnsi" w:hAnsiTheme="minorHAnsi" w:cstheme="minorHAnsi"/>
        </w:rPr>
        <w:t>m</w:t>
      </w:r>
      <w:r w:rsidRPr="00974484">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8"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lastRenderedPageBreak/>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1B45EB65" w:rsidR="00F70762" w:rsidRPr="00974484" w:rsidRDefault="00F70762" w:rsidP="00F70762">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Ak nedôjde k</w:t>
      </w:r>
      <w:r w:rsidR="000B4D6D" w:rsidRPr="00974484">
        <w:rPr>
          <w:rFonts w:asciiTheme="minorHAnsi" w:hAnsiTheme="minorHAnsi" w:cstheme="minorHAnsi"/>
        </w:rPr>
        <w:t xml:space="preserve"> doručeniu oprávnenej výzvy Budúceho užívateľa na uzatvorenie </w:t>
      </w:r>
      <w:r w:rsidRPr="00974484">
        <w:rPr>
          <w:rFonts w:asciiTheme="minorHAnsi" w:hAnsiTheme="minorHAnsi" w:cstheme="minorHAnsi"/>
        </w:rPr>
        <w:t xml:space="preserve">Zmluvy o užívaní verejných prístavov do uplynutia lehoty uvedenej v odseku 2.1, bude Budúci užívateľ povinný odstrániť z Prístavnej polohy </w:t>
      </w:r>
      <w:r w:rsidR="003F6BCF" w:rsidRPr="00974484">
        <w:rPr>
          <w:rFonts w:asciiTheme="minorHAnsi" w:hAnsiTheme="minorHAnsi" w:cstheme="minorHAnsi"/>
        </w:rPr>
        <w:t>a Verejn</w:t>
      </w:r>
      <w:r w:rsidR="003F255B" w:rsidRPr="00974484">
        <w:rPr>
          <w:rFonts w:asciiTheme="minorHAnsi" w:hAnsiTheme="minorHAnsi" w:cstheme="minorHAnsi"/>
        </w:rPr>
        <w:t>ého</w:t>
      </w:r>
      <w:r w:rsidR="003F6BCF" w:rsidRPr="00974484">
        <w:rPr>
          <w:rFonts w:asciiTheme="minorHAnsi" w:hAnsiTheme="minorHAnsi" w:cstheme="minorHAnsi"/>
        </w:rPr>
        <w:t xml:space="preserve"> prístav</w:t>
      </w:r>
      <w:r w:rsidR="003F255B" w:rsidRPr="00974484">
        <w:rPr>
          <w:rFonts w:asciiTheme="minorHAnsi" w:hAnsiTheme="minorHAnsi" w:cstheme="minorHAnsi"/>
        </w:rPr>
        <w:t>u</w:t>
      </w:r>
      <w:r w:rsidR="003F6BCF" w:rsidRPr="00974484">
        <w:rPr>
          <w:rFonts w:asciiTheme="minorHAnsi" w:hAnsiTheme="minorHAnsi" w:cstheme="minorHAnsi"/>
        </w:rPr>
        <w:t xml:space="preserve"> </w:t>
      </w:r>
      <w:r w:rsidRPr="00974484">
        <w:rPr>
          <w:rFonts w:asciiTheme="minorHAnsi" w:hAnsiTheme="minorHAnsi" w:cstheme="minorHAnsi"/>
        </w:rPr>
        <w:t>Plávajúce zariadenie na svoje náklady a nebezpečenstvo. Ak Budúci užívateľ Plávajúce zariadenie neodstráni ani v</w:t>
      </w:r>
      <w:r w:rsidR="00F833C9" w:rsidRPr="00974484">
        <w:rPr>
          <w:rFonts w:asciiTheme="minorHAnsi" w:hAnsiTheme="minorHAnsi" w:cstheme="minorHAnsi"/>
        </w:rPr>
        <w:t> </w:t>
      </w:r>
      <w:r w:rsidRPr="00974484">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w:t>
      </w:r>
      <w:r w:rsidR="003F6BCF" w:rsidRPr="00974484">
        <w:rPr>
          <w:rFonts w:asciiTheme="minorHAnsi" w:hAnsiTheme="minorHAnsi" w:cstheme="minorHAnsi"/>
        </w:rPr>
        <w:t xml:space="preserve"> alebo mimo vymedzeného územia verejného prístavu, </w:t>
      </w:r>
      <w:r w:rsidRPr="00974484">
        <w:rPr>
          <w:rFonts w:asciiTheme="minorHAnsi" w:hAnsiTheme="minorHAnsi" w:cstheme="minorHAnsi"/>
        </w:rPr>
        <w:t xml:space="preserve"> kde je oprávnený ho zadržiavať až do vyrovnania všetkých záväzkov Budúceho užívateľa</w:t>
      </w:r>
      <w:r w:rsidR="0077764F" w:rsidRPr="00974484">
        <w:rPr>
          <w:rFonts w:asciiTheme="minorHAnsi" w:hAnsiTheme="minorHAnsi" w:cstheme="minorHAnsi"/>
        </w:rPr>
        <w:t>; tým nie je dotknutá povinnosť Budúceho užívateľ</w:t>
      </w:r>
      <w:r w:rsidR="006B6C25" w:rsidRPr="00974484">
        <w:rPr>
          <w:rFonts w:asciiTheme="minorHAnsi" w:hAnsiTheme="minorHAnsi" w:cstheme="minorHAnsi"/>
        </w:rPr>
        <w:t>a</w:t>
      </w:r>
      <w:r w:rsidR="0077764F" w:rsidRPr="00974484">
        <w:rPr>
          <w:rFonts w:asciiTheme="minorHAnsi" w:hAnsiTheme="minorHAnsi" w:cstheme="minorHAnsi"/>
        </w:rPr>
        <w:t xml:space="preserve"> </w:t>
      </w:r>
      <w:r w:rsidR="0077764F" w:rsidRPr="00974484">
        <w:rPr>
          <w:rFonts w:asciiTheme="minorHAnsi" w:hAnsiTheme="minorHAnsi" w:cstheme="minorHAnsi"/>
        </w:rPr>
        <w:lastRenderedPageBreak/>
        <w:t xml:space="preserve">uhrádzať príslušné </w:t>
      </w:r>
      <w:r w:rsidR="006B6C25" w:rsidRPr="00974484">
        <w:rPr>
          <w:rFonts w:asciiTheme="minorHAnsi" w:hAnsiTheme="minorHAnsi" w:cstheme="minorHAnsi"/>
        </w:rPr>
        <w:t>p</w:t>
      </w:r>
      <w:r w:rsidR="0077764F" w:rsidRPr="00974484">
        <w:rPr>
          <w:rFonts w:asciiTheme="minorHAnsi" w:hAnsiTheme="minorHAnsi" w:cstheme="minorHAnsi"/>
        </w:rPr>
        <w:t xml:space="preserve">oplatky za užívanie </w:t>
      </w:r>
      <w:r w:rsidR="006B6C25" w:rsidRPr="00974484">
        <w:rPr>
          <w:rFonts w:asciiTheme="minorHAnsi" w:hAnsiTheme="minorHAnsi" w:cstheme="minorHAnsi"/>
        </w:rPr>
        <w:t>náhradnej prístavnej polohy a ostatných poplatkov podľa Sadzobníka</w:t>
      </w:r>
      <w:r w:rsidRPr="00974484">
        <w:rPr>
          <w:rFonts w:asciiTheme="minorHAnsi" w:hAnsiTheme="minorHAnsi" w:cstheme="minorHAnsi"/>
        </w:rPr>
        <w:t xml:space="preserve">. </w:t>
      </w:r>
      <w:r w:rsidRPr="00974484">
        <w:rPr>
          <w:rStyle w:val="Odkaznakomentr"/>
        </w:rPr>
        <w:t xml:space="preserve"> </w:t>
      </w:r>
      <w:r w:rsidRPr="00974484">
        <w:rPr>
          <w:rStyle w:val="Odkaznakomentr"/>
          <w:rFonts w:ascii="Calibri" w:hAnsi="Calibri" w:cs="Calibri"/>
          <w:sz w:val="22"/>
          <w:szCs w:val="22"/>
        </w:rPr>
        <w:t>Ak dôjde k neoprávnenému užívaniu prístavnej polohy a Budúci užívateľ ani napriek výzve Prevádzkovateľa neodstráni Plávajúce zariadenie z prístavnej polohy</w:t>
      </w:r>
      <w:r w:rsidR="003F6BCF" w:rsidRPr="00974484">
        <w:rPr>
          <w:rStyle w:val="Odkaznakomentr"/>
          <w:rFonts w:ascii="Calibri" w:hAnsi="Calibri" w:cs="Calibri"/>
          <w:sz w:val="22"/>
          <w:szCs w:val="22"/>
        </w:rPr>
        <w:t xml:space="preserve"> a Verejného prístavu</w:t>
      </w:r>
      <w:r w:rsidRPr="00974484">
        <w:rPr>
          <w:rStyle w:val="Odkaznakomentr"/>
          <w:rFonts w:ascii="Calibri" w:hAnsi="Calibri" w:cs="Calibri"/>
          <w:sz w:val="22"/>
          <w:szCs w:val="22"/>
        </w:rPr>
        <w:t xml:space="preserve"> je Prevádzkovateľ oprávnený od tejto Zmluvy odstúpiť.</w:t>
      </w:r>
    </w:p>
    <w:p w14:paraId="63E0D0E1" w14:textId="6B1891FD" w:rsidR="00F94E12" w:rsidRPr="00974484" w:rsidRDefault="00EE60D7"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Zmluvné strany sa dohodli, že ak</w:t>
      </w:r>
      <w:r w:rsidR="003C694C" w:rsidRPr="00974484">
        <w:rPr>
          <w:rFonts w:asciiTheme="minorHAnsi" w:hAnsiTheme="minorHAnsi" w:cstheme="minorHAnsi"/>
        </w:rPr>
        <w:t xml:space="preserve"> Plávajúce zariadenie</w:t>
      </w:r>
      <w:r w:rsidRPr="00974484">
        <w:rPr>
          <w:rFonts w:asciiTheme="minorHAnsi" w:hAnsiTheme="minorHAnsi" w:cstheme="minorHAnsi"/>
        </w:rPr>
        <w:t xml:space="preserve"> Budúceho užívateľa umiestnené </w:t>
      </w:r>
      <w:r w:rsidR="00531DBD" w:rsidRPr="00974484">
        <w:rPr>
          <w:rFonts w:asciiTheme="minorHAnsi" w:hAnsiTheme="minorHAnsi" w:cstheme="minorHAnsi"/>
        </w:rPr>
        <w:t>vo Verejnom prístave</w:t>
      </w:r>
      <w:r w:rsidR="00D915CE" w:rsidRPr="00974484">
        <w:rPr>
          <w:rFonts w:asciiTheme="minorHAnsi" w:hAnsiTheme="minorHAnsi" w:cstheme="minorHAnsi"/>
        </w:rPr>
        <w:t xml:space="preserve"> nie je technicky spôsobilé na užívanie</w:t>
      </w:r>
      <w:r w:rsidR="005529F0" w:rsidRPr="00974484">
        <w:rPr>
          <w:rFonts w:asciiTheme="minorHAnsi" w:hAnsiTheme="minorHAnsi" w:cstheme="minorHAnsi"/>
        </w:rPr>
        <w:t xml:space="preserve"> a</w:t>
      </w:r>
      <w:r w:rsidR="00D915CE" w:rsidRPr="00974484">
        <w:rPr>
          <w:rFonts w:asciiTheme="minorHAnsi" w:hAnsiTheme="minorHAnsi" w:cstheme="minorHAnsi"/>
        </w:rPr>
        <w:t xml:space="preserve"> skončila </w:t>
      </w:r>
      <w:r w:rsidR="005529F0" w:rsidRPr="00974484">
        <w:rPr>
          <w:rFonts w:asciiTheme="minorHAnsi" w:hAnsiTheme="minorHAnsi" w:cstheme="minorHAnsi"/>
        </w:rPr>
        <w:t xml:space="preserve">mu </w:t>
      </w:r>
      <w:r w:rsidR="00D915CE" w:rsidRPr="00974484">
        <w:rPr>
          <w:rFonts w:asciiTheme="minorHAnsi" w:hAnsiTheme="minorHAnsi" w:cstheme="minorHAnsi"/>
        </w:rPr>
        <w:t>platnosť príslušných lodných listín potrebných na jeho prevádzku,</w:t>
      </w:r>
      <w:r w:rsidRPr="00974484">
        <w:rPr>
          <w:rFonts w:asciiTheme="minorHAnsi" w:hAnsiTheme="minorHAnsi" w:cstheme="minorHAnsi"/>
        </w:rPr>
        <w:t xml:space="preserve"> a Budúci užívateľ nezabezpečí odstránenie Plávajúceho zariadenia z Prístavnej polohy</w:t>
      </w:r>
      <w:r w:rsidR="003F255B" w:rsidRPr="00974484">
        <w:rPr>
          <w:rFonts w:asciiTheme="minorHAnsi" w:hAnsiTheme="minorHAnsi" w:cstheme="minorHAnsi"/>
        </w:rPr>
        <w:t xml:space="preserve"> a Verejného prístavu</w:t>
      </w:r>
      <w:r w:rsidR="003C694C" w:rsidRPr="00974484">
        <w:rPr>
          <w:rFonts w:asciiTheme="minorHAnsi" w:hAnsiTheme="minorHAnsi" w:cstheme="minorHAnsi"/>
        </w:rPr>
        <w:t xml:space="preserve"> alebo z miesta, do ktorého bolo premiestnené</w:t>
      </w:r>
      <w:r w:rsidRPr="00974484">
        <w:rPr>
          <w:rFonts w:asciiTheme="minorHAnsi" w:hAnsiTheme="minorHAnsi" w:cstheme="minorHAnsi"/>
        </w:rPr>
        <w:t xml:space="preserve"> Prevádzkovateľom</w:t>
      </w:r>
      <w:r w:rsidR="003C694C" w:rsidRPr="00974484">
        <w:rPr>
          <w:rFonts w:asciiTheme="minorHAnsi" w:hAnsiTheme="minorHAnsi" w:cstheme="minorHAnsi"/>
        </w:rPr>
        <w:t xml:space="preserve"> z Prístavnej polohy ani do 15 dní odo dňa </w:t>
      </w:r>
      <w:r w:rsidR="00E15547" w:rsidRPr="00974484">
        <w:rPr>
          <w:rFonts w:asciiTheme="minorHAnsi" w:hAnsiTheme="minorHAnsi" w:cstheme="minorHAnsi"/>
        </w:rPr>
        <w:t xml:space="preserve">doručenia </w:t>
      </w:r>
      <w:r w:rsidRPr="00974484">
        <w:rPr>
          <w:rFonts w:asciiTheme="minorHAnsi" w:hAnsiTheme="minorHAnsi" w:cstheme="minorHAnsi"/>
        </w:rPr>
        <w:t xml:space="preserve">písomnej výzvy </w:t>
      </w:r>
      <w:r w:rsidR="00E15547" w:rsidRPr="00974484">
        <w:rPr>
          <w:rFonts w:asciiTheme="minorHAnsi" w:hAnsiTheme="minorHAnsi" w:cstheme="minorHAnsi"/>
        </w:rPr>
        <w:t xml:space="preserve">Prevádzkovateľa </w:t>
      </w:r>
      <w:r w:rsidRPr="00974484">
        <w:rPr>
          <w:rFonts w:asciiTheme="minorHAnsi" w:hAnsiTheme="minorHAnsi" w:cstheme="minorHAnsi"/>
        </w:rPr>
        <w:t xml:space="preserve">na jeho odstránenie s </w:t>
      </w:r>
      <w:r w:rsidR="003C694C" w:rsidRPr="00974484">
        <w:rPr>
          <w:rFonts w:asciiTheme="minorHAnsi" w:hAnsiTheme="minorHAnsi" w:cstheme="minorHAnsi"/>
        </w:rPr>
        <w:t>upozornen</w:t>
      </w:r>
      <w:r w:rsidRPr="00974484">
        <w:rPr>
          <w:rFonts w:asciiTheme="minorHAnsi" w:hAnsiTheme="minorHAnsi" w:cstheme="minorHAnsi"/>
        </w:rPr>
        <w:t>ím</w:t>
      </w:r>
      <w:r w:rsidR="003C694C" w:rsidRPr="00974484">
        <w:rPr>
          <w:rFonts w:asciiTheme="minorHAnsi" w:hAnsiTheme="minorHAnsi" w:cstheme="minorHAnsi"/>
        </w:rPr>
        <w:t xml:space="preserve"> na možnosť </w:t>
      </w:r>
      <w:r w:rsidR="00E15547" w:rsidRPr="00974484">
        <w:rPr>
          <w:rFonts w:asciiTheme="minorHAnsi" w:hAnsiTheme="minorHAnsi" w:cstheme="minorHAnsi"/>
        </w:rPr>
        <w:t>likvidácie Plávajúceho zariadenia,</w:t>
      </w:r>
      <w:r w:rsidR="003C694C" w:rsidRPr="00974484">
        <w:rPr>
          <w:rFonts w:asciiTheme="minorHAnsi" w:hAnsiTheme="minorHAnsi" w:cstheme="minorHAnsi"/>
        </w:rPr>
        <w:t xml:space="preserve"> </w:t>
      </w:r>
      <w:bookmarkStart w:id="9" w:name="_Hlk97204393"/>
      <w:r w:rsidR="00D915CE" w:rsidRPr="00974484">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sidRPr="00974484">
        <w:rPr>
          <w:rFonts w:asciiTheme="minorHAnsi" w:hAnsiTheme="minorHAnsi" w:cstheme="minorHAnsi"/>
        </w:rPr>
        <w:t>a</w:t>
      </w:r>
      <w:r w:rsidR="00D915CE" w:rsidRPr="00974484">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3F255B" w:rsidRPr="00974484">
        <w:rPr>
          <w:rFonts w:asciiTheme="minorHAnsi" w:hAnsiTheme="minorHAnsi" w:cstheme="minorHAnsi"/>
        </w:rPr>
        <w:t>vznikli voči Budúcemu užívateľovi na základe tejto Zmluvy, akýchkoľvek ďalších zmlúv uzavretých s Budúcim užívateľom a tiež z titulu ich zániku</w:t>
      </w:r>
      <w:r w:rsidR="000B5A69" w:rsidRPr="00974484">
        <w:rPr>
          <w:rFonts w:asciiTheme="minorHAnsi" w:hAnsiTheme="minorHAnsi" w:cstheme="minorHAnsi"/>
        </w:rPr>
        <w:t xml:space="preserve"> </w:t>
      </w:r>
      <w:r w:rsidR="00D915CE" w:rsidRPr="00974484">
        <w:rPr>
          <w:rFonts w:asciiTheme="minorHAnsi" w:hAnsiTheme="minorHAnsi" w:cstheme="minorHAnsi"/>
        </w:rPr>
        <w:t xml:space="preserve">; prípadný prebytok Prevádzkovateľ bez zbytočného odkladu vydá Budúcemu Užívateľovi alebo ho zloží v prospech Budúceho Užívateľa do úradnej úschovy. </w:t>
      </w:r>
      <w:r w:rsidR="003C694C" w:rsidRPr="00974484">
        <w:rPr>
          <w:rFonts w:asciiTheme="minorHAnsi" w:hAnsiTheme="minorHAnsi" w:cstheme="minorHAnsi"/>
        </w:rPr>
        <w:t xml:space="preserve">Týmto ustanovením nie </w:t>
      </w:r>
      <w:r w:rsidR="00E15547" w:rsidRPr="00974484">
        <w:rPr>
          <w:rFonts w:asciiTheme="minorHAnsi" w:hAnsiTheme="minorHAnsi" w:cstheme="minorHAnsi"/>
        </w:rPr>
        <w:t>sú</w:t>
      </w:r>
      <w:r w:rsidR="003C694C" w:rsidRPr="00974484">
        <w:rPr>
          <w:rFonts w:asciiTheme="minorHAnsi" w:hAnsiTheme="minorHAnsi" w:cstheme="minorHAnsi"/>
        </w:rPr>
        <w:t xml:space="preserve"> dotknuté oprávneni</w:t>
      </w:r>
      <w:r w:rsidR="00E15547" w:rsidRPr="00974484">
        <w:rPr>
          <w:rFonts w:asciiTheme="minorHAnsi" w:hAnsiTheme="minorHAnsi" w:cstheme="minorHAnsi"/>
        </w:rPr>
        <w:t>a</w:t>
      </w:r>
      <w:r w:rsidR="003C694C" w:rsidRPr="00974484">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lastRenderedPageBreak/>
        <w:t>Kontaktná osoba za Prevádzkovateľa:</w:t>
      </w:r>
    </w:p>
    <w:p w14:paraId="1A1BC584" w14:textId="77777777" w:rsidR="007648CF" w:rsidRPr="007648CF" w:rsidRDefault="005B4AB2" w:rsidP="00021953">
      <w:pPr>
        <w:pStyle w:val="Normlny1"/>
        <w:spacing w:before="120" w:line="240" w:lineRule="auto"/>
        <w:ind w:left="2121"/>
        <w:jc w:val="both"/>
        <w:rPr>
          <w:rFonts w:asciiTheme="minorHAnsi" w:hAnsiTheme="minorHAnsi" w:cstheme="minorHAnsi"/>
          <w:b/>
          <w:bCs/>
        </w:rPr>
      </w:pPr>
      <w:r w:rsidRPr="004746C2">
        <w:rPr>
          <w:rFonts w:asciiTheme="minorHAnsi" w:hAnsiTheme="minorHAnsi" w:cstheme="minorHAnsi"/>
        </w:rPr>
        <w:t xml:space="preserve">meno a priezvisko:   </w:t>
      </w:r>
      <w:r w:rsidRPr="004746C2">
        <w:rPr>
          <w:rFonts w:asciiTheme="minorHAnsi" w:hAnsiTheme="minorHAnsi" w:cstheme="minorHAnsi"/>
        </w:rPr>
        <w:tab/>
      </w:r>
      <w:r w:rsidR="00021953" w:rsidRPr="007648CF">
        <w:rPr>
          <w:rFonts w:asciiTheme="minorHAnsi" w:hAnsiTheme="minorHAnsi" w:cstheme="minorHAnsi"/>
          <w:b/>
          <w:bCs/>
        </w:rPr>
        <w:t>Mgr. Elena Hamárová</w:t>
      </w:r>
    </w:p>
    <w:p w14:paraId="11562429" w14:textId="74271349" w:rsidR="00C73C84" w:rsidRPr="007648CF" w:rsidRDefault="005B4AB2" w:rsidP="00F56623">
      <w:pPr>
        <w:pStyle w:val="Normlny10"/>
        <w:spacing w:line="240" w:lineRule="auto"/>
        <w:ind w:left="2121"/>
        <w:jc w:val="both"/>
        <w:rPr>
          <w:rFonts w:asciiTheme="minorHAnsi" w:hAnsiTheme="minorHAnsi" w:cstheme="minorHAnsi"/>
        </w:rPr>
      </w:pPr>
      <w:r w:rsidRPr="007648CF">
        <w:rPr>
          <w:rFonts w:asciiTheme="minorHAnsi" w:hAnsiTheme="minorHAnsi" w:cstheme="minorHAnsi"/>
        </w:rPr>
        <w:t xml:space="preserve">e - mail:                   </w:t>
      </w:r>
      <w:r w:rsidRPr="007648CF">
        <w:rPr>
          <w:rFonts w:asciiTheme="minorHAnsi" w:hAnsiTheme="minorHAnsi" w:cstheme="minorHAnsi"/>
        </w:rPr>
        <w:tab/>
      </w:r>
      <w:r w:rsidR="00021953" w:rsidRPr="00F56623">
        <w:rPr>
          <w:rFonts w:asciiTheme="minorHAnsi" w:hAnsiTheme="minorHAnsi" w:cstheme="minorHAnsi"/>
          <w:b/>
          <w:bCs/>
        </w:rPr>
        <w:t>elena.hamarova@vpas.sk</w:t>
      </w:r>
    </w:p>
    <w:p w14:paraId="30B5E2DB" w14:textId="273A8D05" w:rsidR="00C73C84" w:rsidRPr="004746C2" w:rsidRDefault="005B4AB2" w:rsidP="00240715">
      <w:pPr>
        <w:pStyle w:val="Normlny1"/>
        <w:spacing w:line="240" w:lineRule="auto"/>
        <w:ind w:left="2121"/>
        <w:jc w:val="both"/>
        <w:rPr>
          <w:rFonts w:asciiTheme="minorHAnsi" w:hAnsiTheme="minorHAnsi" w:cstheme="minorHAnsi"/>
        </w:rPr>
      </w:pPr>
      <w:r w:rsidRPr="007648CF">
        <w:rPr>
          <w:rFonts w:asciiTheme="minorHAnsi" w:hAnsiTheme="minorHAnsi" w:cstheme="minorHAnsi"/>
        </w:rPr>
        <w:t xml:space="preserve">telefónne číslo:               </w:t>
      </w:r>
      <w:r w:rsidR="008B5CD0" w:rsidRPr="007648CF">
        <w:rPr>
          <w:rFonts w:asciiTheme="minorHAnsi" w:hAnsiTheme="minorHAnsi" w:cstheme="minorHAnsi"/>
        </w:rPr>
        <w:tab/>
      </w:r>
      <w:r w:rsidR="00021953" w:rsidRPr="007648CF">
        <w:rPr>
          <w:rFonts w:asciiTheme="minorHAnsi" w:hAnsiTheme="minorHAnsi" w:cstheme="minorHAnsi"/>
          <w:b/>
          <w:bCs/>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974484" w:rsidRDefault="00B119FA" w:rsidP="00B119FA">
      <w:pPr>
        <w:pStyle w:val="Normlny10"/>
        <w:spacing w:before="120" w:after="120"/>
        <w:ind w:left="720"/>
        <w:jc w:val="both"/>
        <w:rPr>
          <w:rFonts w:asciiTheme="minorHAnsi" w:hAnsiTheme="minorHAnsi" w:cstheme="minorHAnsi"/>
        </w:rPr>
      </w:pPr>
      <w:r w:rsidRPr="00974484">
        <w:rPr>
          <w:rFonts w:asciiTheme="minorHAnsi" w:hAnsiTheme="minorHAnsi" w:cstheme="minorHAnsi"/>
        </w:rPr>
        <w:t>a</w:t>
      </w:r>
      <w:r w:rsidR="005C67BD" w:rsidRPr="00974484">
        <w:rPr>
          <w:rFonts w:asciiTheme="minorHAnsi" w:hAnsiTheme="minorHAnsi" w:cstheme="minorHAnsi"/>
        </w:rPr>
        <w:t xml:space="preserve">) </w:t>
      </w:r>
      <w:r w:rsidRPr="00974484">
        <w:rPr>
          <w:rFonts w:asciiTheme="minorHAnsi" w:hAnsiTheme="minorHAnsi" w:cstheme="minorHAnsi"/>
        </w:rPr>
        <w:tab/>
      </w:r>
      <w:r w:rsidR="00FC7730" w:rsidRPr="00974484">
        <w:rPr>
          <w:rFonts w:asciiTheme="minorHAnsi" w:hAnsiTheme="minorHAnsi" w:cstheme="minorHAnsi"/>
        </w:rPr>
        <w:t>nezloží</w:t>
      </w:r>
      <w:r w:rsidR="005C67BD" w:rsidRPr="00974484">
        <w:rPr>
          <w:rFonts w:asciiTheme="minorHAnsi" w:hAnsiTheme="minorHAnsi" w:cstheme="minorHAnsi"/>
        </w:rPr>
        <w:t xml:space="preserve"> riadne a včas</w:t>
      </w:r>
      <w:r w:rsidR="00FC7730" w:rsidRPr="00974484">
        <w:rPr>
          <w:rFonts w:asciiTheme="minorHAnsi" w:hAnsiTheme="minorHAnsi" w:cstheme="minorHAnsi"/>
        </w:rPr>
        <w:t xml:space="preserve"> u Prevádzkovateľa kauciu v súlade s</w:t>
      </w:r>
      <w:r w:rsidR="005C67BD" w:rsidRPr="00974484">
        <w:rPr>
          <w:rFonts w:asciiTheme="minorHAnsi" w:hAnsiTheme="minorHAnsi" w:cstheme="minorHAnsi"/>
        </w:rPr>
        <w:t xml:space="preserve"> článkom 3, </w:t>
      </w:r>
    </w:p>
    <w:p w14:paraId="622F2061" w14:textId="2867AC04" w:rsidR="00B119FA" w:rsidRPr="00974484" w:rsidRDefault="00B119FA" w:rsidP="00B119FA">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lastRenderedPageBreak/>
        <w:t xml:space="preserve">b) </w:t>
      </w:r>
      <w:r w:rsidRPr="00974484">
        <w:rPr>
          <w:rFonts w:asciiTheme="minorHAnsi" w:hAnsiTheme="minorHAnsi" w:cstheme="minorHAnsi"/>
        </w:rPr>
        <w:tab/>
      </w:r>
      <w:r w:rsidR="00782A78" w:rsidRPr="00974484">
        <w:rPr>
          <w:rFonts w:asciiTheme="minorHAnsi" w:hAnsiTheme="minorHAnsi" w:cstheme="minorHAnsi"/>
        </w:rPr>
        <w:t>ne</w:t>
      </w:r>
      <w:r w:rsidR="005A1CCB" w:rsidRPr="00974484">
        <w:rPr>
          <w:rFonts w:asciiTheme="minorHAnsi" w:hAnsiTheme="minorHAnsi" w:cstheme="minorHAnsi"/>
        </w:rPr>
        <w:t xml:space="preserve">doručí Prevádzkovateľovi výzvu na uzatvorenie Zmluvy o užívaní verejných prístavov v lehote </w:t>
      </w:r>
      <w:r w:rsidR="004D1ADA" w:rsidRPr="00974484">
        <w:rPr>
          <w:rFonts w:asciiTheme="minorHAnsi" w:hAnsiTheme="minorHAnsi" w:cstheme="minorHAnsi"/>
        </w:rPr>
        <w:t>a </w:t>
      </w:r>
      <w:r w:rsidR="005A1CCB" w:rsidRPr="00974484">
        <w:rPr>
          <w:rFonts w:asciiTheme="minorHAnsi" w:hAnsiTheme="minorHAnsi" w:cstheme="minorHAnsi"/>
        </w:rPr>
        <w:t>podľa</w:t>
      </w:r>
      <w:r w:rsidR="004D1ADA" w:rsidRPr="00974484">
        <w:rPr>
          <w:rFonts w:asciiTheme="minorHAnsi" w:hAnsiTheme="minorHAnsi" w:cstheme="minorHAnsi"/>
        </w:rPr>
        <w:t xml:space="preserve"> podmienok stanovených v</w:t>
      </w:r>
      <w:r w:rsidR="005A1CCB" w:rsidRPr="00974484">
        <w:rPr>
          <w:rFonts w:asciiTheme="minorHAnsi" w:hAnsiTheme="minorHAnsi" w:cstheme="minorHAnsi"/>
        </w:rPr>
        <w:t xml:space="preserve"> odseku 2.1 tejto Zmluvy</w:t>
      </w:r>
      <w:r w:rsidR="00FC7730" w:rsidRPr="00974484">
        <w:rPr>
          <w:rFonts w:asciiTheme="minorHAnsi" w:hAnsiTheme="minorHAnsi" w:cstheme="minorHAnsi"/>
        </w:rPr>
        <w:t xml:space="preserve">, </w:t>
      </w:r>
    </w:p>
    <w:p w14:paraId="4D4542FE" w14:textId="762358E4" w:rsidR="003F255B" w:rsidRPr="00974484" w:rsidRDefault="00B119FA" w:rsidP="003F255B">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c) </w:t>
      </w:r>
      <w:r w:rsidRPr="00974484">
        <w:rPr>
          <w:rFonts w:asciiTheme="minorHAnsi" w:hAnsiTheme="minorHAnsi" w:cstheme="minorHAnsi"/>
        </w:rPr>
        <w:tab/>
        <w:t>poruší ktorúkoľvek inú svoju povinnosť vyplývajúcu z tejto Zmluvy podstatným spôsobom</w:t>
      </w:r>
      <w:r w:rsidR="00C62D42" w:rsidRPr="00974484">
        <w:rPr>
          <w:rFonts w:asciiTheme="minorHAnsi" w:hAnsiTheme="minorHAnsi" w:cstheme="minorHAnsi"/>
        </w:rPr>
        <w:t>,</w:t>
      </w:r>
      <w:r w:rsidR="00B65397" w:rsidRPr="00974484">
        <w:rPr>
          <w:rFonts w:asciiTheme="minorHAnsi" w:hAnsiTheme="minorHAnsi" w:cstheme="minorHAnsi"/>
        </w:rPr>
        <w:t xml:space="preserve"> alebo</w:t>
      </w:r>
    </w:p>
    <w:p w14:paraId="6B4AFACF" w14:textId="57C491E0" w:rsidR="00B119FA" w:rsidRPr="00974484" w:rsidRDefault="003F255B" w:rsidP="00B65397">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d</w:t>
      </w:r>
      <w:r w:rsidR="00B119FA" w:rsidRPr="00974484">
        <w:rPr>
          <w:rFonts w:asciiTheme="minorHAnsi" w:hAnsiTheme="minorHAnsi" w:cstheme="minorHAnsi"/>
        </w:rPr>
        <w:t xml:space="preserve">) </w:t>
      </w:r>
      <w:r w:rsidR="00B119FA" w:rsidRPr="00974484">
        <w:rPr>
          <w:rFonts w:asciiTheme="minorHAnsi" w:hAnsiTheme="minorHAnsi" w:cstheme="minorHAnsi"/>
        </w:rPr>
        <w:tab/>
        <w:t>poruší svoju povinnosť voči Prevádzkovateľovi, ktorá vyplýva z inej zmluvy ako z tejto Zmluvy podstatným spôsobom</w:t>
      </w:r>
      <w:r w:rsidR="00C62D42" w:rsidRPr="00974484">
        <w:rPr>
          <w:rFonts w:asciiTheme="minorHAnsi" w:hAnsiTheme="minorHAnsi" w:cstheme="minorHAnsi"/>
        </w:rPr>
        <w:t>,</w:t>
      </w:r>
      <w:r w:rsidR="00B119FA" w:rsidRPr="00974484">
        <w:rPr>
          <w:rFonts w:asciiTheme="minorHAnsi" w:hAnsiTheme="minorHAnsi" w:cstheme="minorHAnsi"/>
        </w:rPr>
        <w:t xml:space="preserve"> alebo Prevádzkovateľ uplatní svoje právo odstúpiť od inej zmluvy uzatvorenej s</w:t>
      </w:r>
      <w:r w:rsidR="00B65397" w:rsidRPr="00974484">
        <w:rPr>
          <w:rFonts w:asciiTheme="minorHAnsi" w:hAnsiTheme="minorHAnsi" w:cstheme="minorHAnsi"/>
        </w:rPr>
        <w:t> Budúcim u</w:t>
      </w:r>
      <w:r w:rsidR="00B119FA" w:rsidRPr="00974484">
        <w:rPr>
          <w:rFonts w:asciiTheme="minorHAnsi" w:hAnsiTheme="minorHAnsi" w:cstheme="minorHAnsi"/>
        </w:rPr>
        <w:t>žívateľom z</w:t>
      </w:r>
      <w:r w:rsidR="00C62D42" w:rsidRPr="00974484">
        <w:rPr>
          <w:rFonts w:asciiTheme="minorHAnsi" w:hAnsiTheme="minorHAnsi" w:cstheme="minorHAnsi"/>
        </w:rPr>
        <w:t> </w:t>
      </w:r>
      <w:r w:rsidR="00B119FA" w:rsidRPr="00974484">
        <w:rPr>
          <w:rFonts w:asciiTheme="minorHAnsi" w:hAnsiTheme="minorHAnsi" w:cstheme="minorHAnsi"/>
        </w:rPr>
        <w:t>dôvodu</w:t>
      </w:r>
      <w:r w:rsidR="00C62D42" w:rsidRPr="00974484">
        <w:rPr>
          <w:rFonts w:asciiTheme="minorHAnsi" w:hAnsiTheme="minorHAnsi" w:cstheme="minorHAnsi"/>
        </w:rPr>
        <w:t xml:space="preserve"> </w:t>
      </w:r>
      <w:r w:rsidR="00B119FA" w:rsidRPr="00974484">
        <w:rPr>
          <w:rFonts w:asciiTheme="minorHAnsi" w:hAnsiTheme="minorHAnsi" w:cstheme="minorHAnsi"/>
        </w:rPr>
        <w:t>v takejto zmluve výslovne dojednaného</w:t>
      </w:r>
      <w:r w:rsidR="00C62D42" w:rsidRPr="00974484">
        <w:rPr>
          <w:rFonts w:asciiTheme="minorHAnsi" w:hAnsiTheme="minorHAnsi" w:cstheme="minorHAnsi"/>
        </w:rPr>
        <w:t>,</w:t>
      </w:r>
    </w:p>
    <w:p w14:paraId="1B48F81D" w14:textId="41F30227" w:rsidR="009E166B" w:rsidRPr="00974484" w:rsidRDefault="003F255B">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e</w:t>
      </w:r>
      <w:r w:rsidR="009E166B" w:rsidRPr="00974484">
        <w:rPr>
          <w:rFonts w:asciiTheme="minorHAnsi" w:hAnsiTheme="minorHAnsi" w:cstheme="minorHAnsi"/>
        </w:rPr>
        <w:t xml:space="preserve">)          </w:t>
      </w:r>
      <w:r w:rsidR="00BC1B46" w:rsidRPr="00974484">
        <w:rPr>
          <w:rFonts w:asciiTheme="minorHAnsi" w:hAnsiTheme="minorHAnsi" w:cstheme="minorHAnsi"/>
        </w:rPr>
        <w:t>poruší niektorú z povinností podľa</w:t>
      </w:r>
      <w:r w:rsidR="009E166B" w:rsidRPr="00974484">
        <w:rPr>
          <w:rFonts w:asciiTheme="minorHAnsi" w:hAnsiTheme="minorHAnsi" w:cstheme="minorHAnsi"/>
        </w:rPr>
        <w:t xml:space="preserve"> čl. </w:t>
      </w:r>
      <w:r w:rsidR="00EA6C91" w:rsidRPr="00974484">
        <w:rPr>
          <w:rFonts w:asciiTheme="minorHAnsi" w:hAnsiTheme="minorHAnsi" w:cstheme="minorHAnsi"/>
        </w:rPr>
        <w:t>8</w:t>
      </w:r>
      <w:r w:rsidR="009E166B" w:rsidRPr="00974484">
        <w:rPr>
          <w:rFonts w:asciiTheme="minorHAnsi" w:hAnsiTheme="minorHAnsi" w:cstheme="minorHAnsi"/>
        </w:rPr>
        <w:t xml:space="preserve"> tejto Zmluvy</w:t>
      </w:r>
      <w:r w:rsidR="00EA6C91" w:rsidRPr="00974484">
        <w:rPr>
          <w:rFonts w:asciiTheme="minorHAnsi" w:hAnsiTheme="minorHAnsi" w:cstheme="minorHAnsi"/>
        </w:rPr>
        <w:t>,</w:t>
      </w:r>
    </w:p>
    <w:p w14:paraId="6DE47F67" w14:textId="17F03329" w:rsidR="003E0CF8" w:rsidRPr="00974484" w:rsidRDefault="003F255B"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f</w:t>
      </w:r>
      <w:r w:rsidR="003E0CF8" w:rsidRPr="00974484">
        <w:rPr>
          <w:rFonts w:asciiTheme="minorHAnsi" w:hAnsiTheme="minorHAnsi" w:cstheme="minorHAnsi"/>
        </w:rPr>
        <w:t xml:space="preserve">)          neodstráni Plávajúce zariadenie z Prístavnej polohy </w:t>
      </w:r>
      <w:r w:rsidRPr="00974484">
        <w:rPr>
          <w:rFonts w:asciiTheme="minorHAnsi" w:hAnsiTheme="minorHAnsi" w:cstheme="minorHAnsi"/>
        </w:rPr>
        <w:t xml:space="preserve">a z Verejného prístavu </w:t>
      </w:r>
      <w:r w:rsidR="003E0CF8" w:rsidRPr="00974484">
        <w:rPr>
          <w:rFonts w:asciiTheme="minorHAnsi" w:hAnsiTheme="minorHAnsi" w:cstheme="minorHAnsi"/>
        </w:rPr>
        <w:t>v</w:t>
      </w:r>
      <w:r w:rsidR="007A2FF6" w:rsidRPr="00974484">
        <w:rPr>
          <w:rFonts w:asciiTheme="minorHAnsi" w:hAnsiTheme="minorHAnsi" w:cstheme="minorHAnsi"/>
        </w:rPr>
        <w:t> zmys</w:t>
      </w:r>
      <w:r w:rsidR="00F164B1" w:rsidRPr="00974484">
        <w:rPr>
          <w:rFonts w:asciiTheme="minorHAnsi" w:hAnsiTheme="minorHAnsi" w:cstheme="minorHAnsi"/>
        </w:rPr>
        <w:t>le</w:t>
      </w:r>
      <w:r w:rsidR="007A2FF6" w:rsidRPr="00974484">
        <w:rPr>
          <w:rFonts w:asciiTheme="minorHAnsi" w:hAnsiTheme="minorHAnsi" w:cstheme="minorHAnsi"/>
        </w:rPr>
        <w:t xml:space="preserve"> odseku</w:t>
      </w:r>
      <w:r w:rsidR="003E0CF8" w:rsidRPr="00974484">
        <w:rPr>
          <w:rFonts w:asciiTheme="minorHAnsi" w:hAnsiTheme="minorHAnsi" w:cstheme="minorHAnsi"/>
        </w:rPr>
        <w:t xml:space="preserve"> 6.</w:t>
      </w:r>
      <w:r w:rsidR="006773E2" w:rsidRPr="00974484">
        <w:rPr>
          <w:rFonts w:asciiTheme="minorHAnsi" w:hAnsiTheme="minorHAnsi" w:cstheme="minorHAnsi"/>
        </w:rPr>
        <w:t>3</w:t>
      </w:r>
      <w:r w:rsidR="003E0CF8" w:rsidRPr="00974484">
        <w:rPr>
          <w:rFonts w:asciiTheme="minorHAnsi" w:hAnsiTheme="minorHAnsi" w:cstheme="minorHAnsi"/>
        </w:rPr>
        <w:t>, článok 6,</w:t>
      </w:r>
    </w:p>
    <w:p w14:paraId="34718FE8" w14:textId="4AB748B2" w:rsidR="00FC7730" w:rsidRPr="00974484" w:rsidRDefault="00FC7730"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 xml:space="preserve">je Prevádzkovateľ oprávnený od tejto Zmluvy odstúpiť bez toho, aby bol povinný poskytnúť </w:t>
      </w:r>
      <w:r w:rsidR="005C67BD" w:rsidRPr="00974484">
        <w:rPr>
          <w:rFonts w:asciiTheme="minorHAnsi" w:hAnsiTheme="minorHAnsi" w:cstheme="minorHAnsi"/>
        </w:rPr>
        <w:t xml:space="preserve">Budúcemu užívateľovi </w:t>
      </w:r>
      <w:r w:rsidRPr="00974484">
        <w:rPr>
          <w:rFonts w:asciiTheme="minorHAnsi" w:hAnsiTheme="minorHAnsi" w:cstheme="minorHAnsi"/>
        </w:rPr>
        <w:t xml:space="preserve">dodatočnú lehotu na </w:t>
      </w:r>
      <w:r w:rsidR="005C67BD" w:rsidRPr="00974484">
        <w:rPr>
          <w:rFonts w:asciiTheme="minorHAnsi" w:hAnsiTheme="minorHAnsi" w:cstheme="minorHAnsi"/>
        </w:rPr>
        <w:t>splnenie jeho povinnosti</w:t>
      </w:r>
      <w:r w:rsidRPr="00974484">
        <w:rPr>
          <w:rFonts w:asciiTheme="minorHAnsi" w:hAnsiTheme="minorHAnsi" w:cstheme="minorHAnsi"/>
        </w:rPr>
        <w:t xml:space="preserve">. </w:t>
      </w:r>
    </w:p>
    <w:p w14:paraId="1099E715" w14:textId="4E4F7DC7" w:rsidR="00FC7730" w:rsidRPr="00974484" w:rsidRDefault="00FC7730" w:rsidP="00744B3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Odstúpením od </w:t>
      </w:r>
      <w:r w:rsidR="00290847" w:rsidRPr="00974484">
        <w:rPr>
          <w:rFonts w:asciiTheme="minorHAnsi" w:hAnsiTheme="minorHAnsi" w:cstheme="minorHAnsi"/>
        </w:rPr>
        <w:t>Z</w:t>
      </w:r>
      <w:r w:rsidRPr="00974484">
        <w:rPr>
          <w:rFonts w:asciiTheme="minorHAnsi" w:hAnsiTheme="minorHAnsi" w:cstheme="minorHAnsi"/>
        </w:rPr>
        <w:t xml:space="preserve">mluvy zanikajú všetky práva a povinnosti </w:t>
      </w:r>
      <w:r w:rsidR="00290847" w:rsidRPr="00974484">
        <w:rPr>
          <w:rFonts w:asciiTheme="minorHAnsi" w:hAnsiTheme="minorHAnsi" w:cstheme="minorHAnsi"/>
        </w:rPr>
        <w:t xml:space="preserve">Zmluvných </w:t>
      </w:r>
      <w:r w:rsidRPr="00974484">
        <w:rPr>
          <w:rFonts w:asciiTheme="minorHAnsi" w:hAnsiTheme="minorHAnsi" w:cstheme="minorHAnsi"/>
        </w:rPr>
        <w:t>strán zo Zmluvy</w:t>
      </w:r>
      <w:r w:rsidR="00531DBD" w:rsidRPr="00974484">
        <w:rPr>
          <w:rFonts w:asciiTheme="minorHAnsi" w:hAnsiTheme="minorHAnsi" w:cstheme="minorHAnsi"/>
        </w:rPr>
        <w:t xml:space="preserve"> s výnimkou tých, z ktorých povahy a účelu vyplýva, že sa majú uplatňovať aj po zániku tejto Zmluvy</w:t>
      </w:r>
      <w:r w:rsidRPr="00974484">
        <w:rPr>
          <w:rFonts w:asciiTheme="minorHAnsi" w:hAnsiTheme="minorHAnsi" w:cstheme="minorHAnsi"/>
        </w:rPr>
        <w:t xml:space="preserve">. </w:t>
      </w:r>
      <w:r w:rsidR="00290847" w:rsidRPr="00974484">
        <w:rPr>
          <w:rFonts w:asciiTheme="minorHAnsi" w:hAnsiTheme="minorHAnsi" w:cstheme="minorHAnsi"/>
        </w:rPr>
        <w:t>Zmluvná s</w:t>
      </w:r>
      <w:r w:rsidRPr="00974484">
        <w:rPr>
          <w:rFonts w:asciiTheme="minorHAnsi" w:hAnsiTheme="minorHAnsi" w:cstheme="minorHAnsi"/>
        </w:rPr>
        <w:t xml:space="preserve">trana, ktorej pred odstúpením od </w:t>
      </w:r>
      <w:r w:rsidR="00290847" w:rsidRPr="00974484">
        <w:rPr>
          <w:rFonts w:asciiTheme="minorHAnsi" w:hAnsiTheme="minorHAnsi" w:cstheme="minorHAnsi"/>
        </w:rPr>
        <w:t>Z</w:t>
      </w:r>
      <w:r w:rsidRPr="00974484">
        <w:rPr>
          <w:rFonts w:asciiTheme="minorHAnsi" w:hAnsiTheme="minorHAnsi" w:cstheme="minorHAnsi"/>
        </w:rPr>
        <w:t xml:space="preserve">mluvy poskytla plnenie druhá </w:t>
      </w:r>
      <w:r w:rsidR="00290847" w:rsidRPr="00974484">
        <w:rPr>
          <w:rFonts w:asciiTheme="minorHAnsi" w:hAnsiTheme="minorHAnsi" w:cstheme="minorHAnsi"/>
        </w:rPr>
        <w:t xml:space="preserve">Zmluvná </w:t>
      </w:r>
      <w:r w:rsidRPr="00974484">
        <w:rPr>
          <w:rFonts w:asciiTheme="minorHAnsi" w:hAnsiTheme="minorHAnsi" w:cstheme="minorHAnsi"/>
        </w:rPr>
        <w:t>strana, toto plnenie vráti bez povinnosti zaplatiť úroky. </w:t>
      </w:r>
      <w:r w:rsidR="001C70CF" w:rsidRPr="00974484">
        <w:rPr>
          <w:rFonts w:asciiTheme="minorHAnsi" w:hAnsiTheme="minorHAnsi" w:cstheme="minorHAnsi"/>
        </w:rPr>
        <w:t xml:space="preserve">Tým nie </w:t>
      </w:r>
      <w:r w:rsidR="007B7786" w:rsidRPr="00974484">
        <w:rPr>
          <w:rFonts w:asciiTheme="minorHAnsi" w:hAnsiTheme="minorHAnsi" w:cstheme="minorHAnsi"/>
        </w:rPr>
        <w:t>sú</w:t>
      </w:r>
      <w:r w:rsidR="001C70CF" w:rsidRPr="00974484">
        <w:rPr>
          <w:rFonts w:asciiTheme="minorHAnsi" w:hAnsiTheme="minorHAnsi" w:cstheme="minorHAnsi"/>
        </w:rPr>
        <w:t xml:space="preserve"> dotknuté ustanoveni</w:t>
      </w:r>
      <w:r w:rsidR="007B7786" w:rsidRPr="00974484">
        <w:rPr>
          <w:rFonts w:asciiTheme="minorHAnsi" w:hAnsiTheme="minorHAnsi" w:cstheme="minorHAnsi"/>
        </w:rPr>
        <w:t>a</w:t>
      </w:r>
      <w:r w:rsidR="001C70CF" w:rsidRPr="00974484">
        <w:rPr>
          <w:rFonts w:asciiTheme="minorHAnsi" w:hAnsiTheme="minorHAnsi" w:cstheme="minorHAnsi"/>
        </w:rPr>
        <w:t xml:space="preserve"> odsek</w:t>
      </w:r>
      <w:r w:rsidR="00801950" w:rsidRPr="00974484">
        <w:rPr>
          <w:rFonts w:asciiTheme="minorHAnsi" w:hAnsiTheme="minorHAnsi" w:cstheme="minorHAnsi"/>
        </w:rPr>
        <w:t>ov</w:t>
      </w:r>
      <w:r w:rsidR="001C70CF" w:rsidRPr="00974484">
        <w:rPr>
          <w:rFonts w:asciiTheme="minorHAnsi" w:hAnsiTheme="minorHAnsi" w:cstheme="minorHAnsi"/>
        </w:rPr>
        <w:t xml:space="preserve"> 9.3 </w:t>
      </w:r>
      <w:r w:rsidR="007B7786" w:rsidRPr="00974484">
        <w:rPr>
          <w:rFonts w:asciiTheme="minorHAnsi" w:hAnsiTheme="minorHAnsi" w:cstheme="minorHAnsi"/>
        </w:rPr>
        <w:t xml:space="preserve">a 9.4 </w:t>
      </w:r>
      <w:r w:rsidR="001C70CF" w:rsidRPr="00974484">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63A4F2DB" w14:textId="353F3856" w:rsidR="00712B0F" w:rsidRPr="004E32A7"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Default="00DE78F2" w:rsidP="00767D87">
      <w:pPr>
        <w:pStyle w:val="Normlny1"/>
        <w:spacing w:before="120" w:after="120"/>
        <w:ind w:left="1280" w:hanging="700"/>
        <w:rPr>
          <w:rFonts w:asciiTheme="minorHAnsi" w:hAnsiTheme="minorHAnsi" w:cstheme="minorHAnsi"/>
        </w:rPr>
      </w:pPr>
    </w:p>
    <w:p w14:paraId="372D0DB6" w14:textId="77777777" w:rsidR="00BE6419" w:rsidRPr="004746C2" w:rsidRDefault="00BE6419"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974484" w:rsidRDefault="00AC2F48" w:rsidP="00872486">
            <w:pPr>
              <w:pStyle w:val="Normlny1"/>
              <w:spacing w:line="240" w:lineRule="auto"/>
              <w:ind w:left="100"/>
              <w:jc w:val="both"/>
              <w:rPr>
                <w:rFonts w:asciiTheme="minorHAnsi" w:hAnsiTheme="minorHAnsi" w:cstheme="minorHAnsi"/>
              </w:rPr>
            </w:pPr>
            <w:bookmarkStart w:id="11" w:name="_Hlk126246775"/>
            <w:r w:rsidRPr="00974484">
              <w:rPr>
                <w:rFonts w:asciiTheme="minorHAnsi" w:hAnsiTheme="minorHAnsi" w:cstheme="minorHAnsi"/>
              </w:rPr>
              <w:lastRenderedPageBreak/>
              <w:t>V Bratislave dňa</w:t>
            </w:r>
            <w:r w:rsidR="005B3D24" w:rsidRPr="00974484">
              <w:rPr>
                <w:rFonts w:asciiTheme="minorHAnsi" w:hAnsiTheme="minorHAnsi" w:cstheme="minorHAnsi"/>
              </w:rPr>
              <w:t xml:space="preserve"> </w:t>
            </w:r>
          </w:p>
          <w:p w14:paraId="32A26DCF"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 mene Prevádzkovateľa:</w:t>
            </w:r>
          </w:p>
          <w:p w14:paraId="1C5B5B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77CEDAB4"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5A92C7E"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61CB66A"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w:t>
            </w:r>
          </w:p>
          <w:p w14:paraId="7744E3C5" w14:textId="6437887E" w:rsidR="0026330D" w:rsidRPr="00974484" w:rsidRDefault="004E32A7" w:rsidP="0026330D">
            <w:pPr>
              <w:pStyle w:val="Normlny1"/>
              <w:spacing w:line="240" w:lineRule="auto"/>
              <w:ind w:left="100"/>
              <w:jc w:val="both"/>
              <w:rPr>
                <w:rFonts w:asciiTheme="minorHAnsi" w:hAnsiTheme="minorHAnsi" w:cstheme="minorHAnsi"/>
                <w:b/>
              </w:rPr>
            </w:pPr>
            <w:r w:rsidRPr="00974484">
              <w:rPr>
                <w:rFonts w:asciiTheme="minorHAnsi" w:hAnsiTheme="minorHAnsi" w:cstheme="minorHAnsi"/>
                <w:b/>
              </w:rPr>
              <w:t>Mgr. Matej Danóci</w:t>
            </w:r>
          </w:p>
          <w:p w14:paraId="50AC01E4" w14:textId="0ABBBC8D" w:rsidR="00AC2F48" w:rsidRPr="00974484" w:rsidRDefault="004E32A7"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jediný člen</w:t>
            </w:r>
            <w:r w:rsidR="00AC2F48" w:rsidRPr="00974484">
              <w:rPr>
                <w:rFonts w:asciiTheme="minorHAnsi" w:hAnsiTheme="minorHAnsi" w:cstheme="minorHAnsi"/>
              </w:rPr>
              <w:t xml:space="preserve"> predstavenstva</w:t>
            </w:r>
          </w:p>
          <w:p w14:paraId="71D176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37611AE6" w14:textId="6E3064CC" w:rsidR="00F94E12" w:rsidRPr="00974484" w:rsidRDefault="00F94E12" w:rsidP="004E32A7">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11"/>
    </w:tbl>
    <w:p w14:paraId="6838FF3D" w14:textId="77777777" w:rsidR="00AC2F48" w:rsidRPr="00116F38" w:rsidRDefault="00AC2F48" w:rsidP="004E32A7">
      <w:pPr>
        <w:pStyle w:val="Normlny1"/>
        <w:spacing w:before="120" w:after="120" w:line="240" w:lineRule="auto"/>
        <w:rPr>
          <w:rFonts w:asciiTheme="minorHAnsi" w:hAnsiTheme="minorHAnsi" w:cstheme="minorHAnsi"/>
        </w:rPr>
      </w:pPr>
    </w:p>
    <w:sectPr w:rsidR="00AC2F48" w:rsidRPr="00116F38" w:rsidSect="00D316A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1630" w14:textId="77777777" w:rsidR="006774D3" w:rsidRDefault="006774D3" w:rsidP="00C73C84">
      <w:pPr>
        <w:spacing w:line="240" w:lineRule="auto"/>
      </w:pPr>
      <w:r>
        <w:separator/>
      </w:r>
    </w:p>
  </w:endnote>
  <w:endnote w:type="continuationSeparator" w:id="0">
    <w:p w14:paraId="358B33BE" w14:textId="77777777" w:rsidR="006774D3" w:rsidRDefault="006774D3"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C1B2" w14:textId="77777777" w:rsidR="006774D3" w:rsidRDefault="006774D3" w:rsidP="00C73C84">
      <w:pPr>
        <w:spacing w:line="240" w:lineRule="auto"/>
      </w:pPr>
      <w:r>
        <w:separator/>
      </w:r>
    </w:p>
  </w:footnote>
  <w:footnote w:type="continuationSeparator" w:id="0">
    <w:p w14:paraId="2E96EE7F" w14:textId="77777777" w:rsidR="006774D3" w:rsidRDefault="006774D3"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26FB"/>
    <w:rsid w:val="0001679D"/>
    <w:rsid w:val="00020520"/>
    <w:rsid w:val="00021953"/>
    <w:rsid w:val="00021B5E"/>
    <w:rsid w:val="00032178"/>
    <w:rsid w:val="000466EB"/>
    <w:rsid w:val="00047903"/>
    <w:rsid w:val="0007160D"/>
    <w:rsid w:val="00071D2F"/>
    <w:rsid w:val="00077341"/>
    <w:rsid w:val="0007781B"/>
    <w:rsid w:val="00085E5E"/>
    <w:rsid w:val="00094063"/>
    <w:rsid w:val="00097C35"/>
    <w:rsid w:val="000A4FF8"/>
    <w:rsid w:val="000B4D6D"/>
    <w:rsid w:val="000B5A69"/>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0786D"/>
    <w:rsid w:val="00115767"/>
    <w:rsid w:val="00116F38"/>
    <w:rsid w:val="00131B63"/>
    <w:rsid w:val="00132BBB"/>
    <w:rsid w:val="001336B9"/>
    <w:rsid w:val="00134004"/>
    <w:rsid w:val="00142259"/>
    <w:rsid w:val="00146FB2"/>
    <w:rsid w:val="001564A8"/>
    <w:rsid w:val="001648E9"/>
    <w:rsid w:val="0016752C"/>
    <w:rsid w:val="00172736"/>
    <w:rsid w:val="00181B96"/>
    <w:rsid w:val="00182B7F"/>
    <w:rsid w:val="00183FA6"/>
    <w:rsid w:val="001910C1"/>
    <w:rsid w:val="00197393"/>
    <w:rsid w:val="001A1FBD"/>
    <w:rsid w:val="001A547E"/>
    <w:rsid w:val="001A5687"/>
    <w:rsid w:val="001A7D1E"/>
    <w:rsid w:val="001B4FFA"/>
    <w:rsid w:val="001C0715"/>
    <w:rsid w:val="001C5DFA"/>
    <w:rsid w:val="001C70CF"/>
    <w:rsid w:val="001D4B85"/>
    <w:rsid w:val="001E02B3"/>
    <w:rsid w:val="001F0AC1"/>
    <w:rsid w:val="002014FA"/>
    <w:rsid w:val="002018FF"/>
    <w:rsid w:val="00202A63"/>
    <w:rsid w:val="00212928"/>
    <w:rsid w:val="002168E7"/>
    <w:rsid w:val="00221243"/>
    <w:rsid w:val="00226940"/>
    <w:rsid w:val="002326A0"/>
    <w:rsid w:val="002327EE"/>
    <w:rsid w:val="0023366F"/>
    <w:rsid w:val="0023493C"/>
    <w:rsid w:val="00236990"/>
    <w:rsid w:val="0023798E"/>
    <w:rsid w:val="00240715"/>
    <w:rsid w:val="00243B5F"/>
    <w:rsid w:val="002449A1"/>
    <w:rsid w:val="00253694"/>
    <w:rsid w:val="0025613C"/>
    <w:rsid w:val="002620F9"/>
    <w:rsid w:val="0026330D"/>
    <w:rsid w:val="00266085"/>
    <w:rsid w:val="00267358"/>
    <w:rsid w:val="002716E3"/>
    <w:rsid w:val="0027694D"/>
    <w:rsid w:val="00280397"/>
    <w:rsid w:val="002818C6"/>
    <w:rsid w:val="00290847"/>
    <w:rsid w:val="00292C55"/>
    <w:rsid w:val="00294183"/>
    <w:rsid w:val="00295E8D"/>
    <w:rsid w:val="002A781F"/>
    <w:rsid w:val="002B0F2D"/>
    <w:rsid w:val="002C34E5"/>
    <w:rsid w:val="002D1909"/>
    <w:rsid w:val="002E1BAC"/>
    <w:rsid w:val="002E4129"/>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85EB2"/>
    <w:rsid w:val="00394792"/>
    <w:rsid w:val="00394AD3"/>
    <w:rsid w:val="003966C6"/>
    <w:rsid w:val="00396C0B"/>
    <w:rsid w:val="003A10DB"/>
    <w:rsid w:val="003A3D19"/>
    <w:rsid w:val="003A7195"/>
    <w:rsid w:val="003B191D"/>
    <w:rsid w:val="003B1EBF"/>
    <w:rsid w:val="003B4D10"/>
    <w:rsid w:val="003B7F22"/>
    <w:rsid w:val="003C11B6"/>
    <w:rsid w:val="003C21DB"/>
    <w:rsid w:val="003C694C"/>
    <w:rsid w:val="003C6B16"/>
    <w:rsid w:val="003D3A6D"/>
    <w:rsid w:val="003D6C04"/>
    <w:rsid w:val="003E0CF8"/>
    <w:rsid w:val="003F1FC9"/>
    <w:rsid w:val="003F255B"/>
    <w:rsid w:val="003F5C67"/>
    <w:rsid w:val="003F6BCF"/>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205E"/>
    <w:rsid w:val="004921AB"/>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E32A7"/>
    <w:rsid w:val="004F09B2"/>
    <w:rsid w:val="004F3E93"/>
    <w:rsid w:val="00500EBC"/>
    <w:rsid w:val="005018D8"/>
    <w:rsid w:val="00502BB5"/>
    <w:rsid w:val="00504D4C"/>
    <w:rsid w:val="00507688"/>
    <w:rsid w:val="00513CDC"/>
    <w:rsid w:val="005211A6"/>
    <w:rsid w:val="0052152D"/>
    <w:rsid w:val="00522B6A"/>
    <w:rsid w:val="00524085"/>
    <w:rsid w:val="00530B19"/>
    <w:rsid w:val="00531BBD"/>
    <w:rsid w:val="00531DBD"/>
    <w:rsid w:val="00536A5A"/>
    <w:rsid w:val="00536B7F"/>
    <w:rsid w:val="005401B3"/>
    <w:rsid w:val="005529F0"/>
    <w:rsid w:val="0055368A"/>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B5619"/>
    <w:rsid w:val="005C67BD"/>
    <w:rsid w:val="005D2C09"/>
    <w:rsid w:val="005D52B8"/>
    <w:rsid w:val="005D7CE3"/>
    <w:rsid w:val="005F7F7D"/>
    <w:rsid w:val="00602F23"/>
    <w:rsid w:val="006050FF"/>
    <w:rsid w:val="00606DBE"/>
    <w:rsid w:val="00610957"/>
    <w:rsid w:val="006120DF"/>
    <w:rsid w:val="006134A8"/>
    <w:rsid w:val="006149B3"/>
    <w:rsid w:val="00614F5F"/>
    <w:rsid w:val="006240F5"/>
    <w:rsid w:val="00624CE6"/>
    <w:rsid w:val="00624D52"/>
    <w:rsid w:val="006256E5"/>
    <w:rsid w:val="00627C53"/>
    <w:rsid w:val="0064214A"/>
    <w:rsid w:val="00645260"/>
    <w:rsid w:val="00651A80"/>
    <w:rsid w:val="0065267E"/>
    <w:rsid w:val="006576BA"/>
    <w:rsid w:val="0066281E"/>
    <w:rsid w:val="00664633"/>
    <w:rsid w:val="006704A6"/>
    <w:rsid w:val="00670785"/>
    <w:rsid w:val="006761E4"/>
    <w:rsid w:val="00676DBA"/>
    <w:rsid w:val="006773E2"/>
    <w:rsid w:val="006774D3"/>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0586"/>
    <w:rsid w:val="00712B0F"/>
    <w:rsid w:val="0071798A"/>
    <w:rsid w:val="00732FA1"/>
    <w:rsid w:val="007364C3"/>
    <w:rsid w:val="007367AE"/>
    <w:rsid w:val="00736999"/>
    <w:rsid w:val="00737026"/>
    <w:rsid w:val="00744B30"/>
    <w:rsid w:val="007470C6"/>
    <w:rsid w:val="00754018"/>
    <w:rsid w:val="00761C2D"/>
    <w:rsid w:val="0076360F"/>
    <w:rsid w:val="007648C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7F3CA9"/>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95EAC"/>
    <w:rsid w:val="008A74FC"/>
    <w:rsid w:val="008B2726"/>
    <w:rsid w:val="008B4990"/>
    <w:rsid w:val="008B5CD0"/>
    <w:rsid w:val="008C2061"/>
    <w:rsid w:val="008D7CCF"/>
    <w:rsid w:val="008E16FC"/>
    <w:rsid w:val="008E3448"/>
    <w:rsid w:val="008F06D8"/>
    <w:rsid w:val="008F620A"/>
    <w:rsid w:val="009015A7"/>
    <w:rsid w:val="00901D7F"/>
    <w:rsid w:val="00905F04"/>
    <w:rsid w:val="00911C35"/>
    <w:rsid w:val="00915070"/>
    <w:rsid w:val="00917F5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868"/>
    <w:rsid w:val="00963CE4"/>
    <w:rsid w:val="00963D0C"/>
    <w:rsid w:val="00974484"/>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18F"/>
    <w:rsid w:val="00A07F5F"/>
    <w:rsid w:val="00A10321"/>
    <w:rsid w:val="00A14653"/>
    <w:rsid w:val="00A148C4"/>
    <w:rsid w:val="00A23CEC"/>
    <w:rsid w:val="00A25AFF"/>
    <w:rsid w:val="00A33BF7"/>
    <w:rsid w:val="00A43D8D"/>
    <w:rsid w:val="00A553E3"/>
    <w:rsid w:val="00A55A74"/>
    <w:rsid w:val="00A67918"/>
    <w:rsid w:val="00A72C60"/>
    <w:rsid w:val="00A74356"/>
    <w:rsid w:val="00A75529"/>
    <w:rsid w:val="00A76929"/>
    <w:rsid w:val="00A82388"/>
    <w:rsid w:val="00A83137"/>
    <w:rsid w:val="00A842C8"/>
    <w:rsid w:val="00A86ACA"/>
    <w:rsid w:val="00A906F1"/>
    <w:rsid w:val="00A9079A"/>
    <w:rsid w:val="00A97AE4"/>
    <w:rsid w:val="00AA0772"/>
    <w:rsid w:val="00AA5D82"/>
    <w:rsid w:val="00AA7658"/>
    <w:rsid w:val="00AB05D5"/>
    <w:rsid w:val="00AB3FE6"/>
    <w:rsid w:val="00AB50D4"/>
    <w:rsid w:val="00AC1769"/>
    <w:rsid w:val="00AC2F48"/>
    <w:rsid w:val="00AD0E0C"/>
    <w:rsid w:val="00AD451E"/>
    <w:rsid w:val="00AE15B8"/>
    <w:rsid w:val="00AF0766"/>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1864"/>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E6419"/>
    <w:rsid w:val="00BF02AB"/>
    <w:rsid w:val="00BF0696"/>
    <w:rsid w:val="00BF0AC0"/>
    <w:rsid w:val="00BF2621"/>
    <w:rsid w:val="00C018BB"/>
    <w:rsid w:val="00C0191B"/>
    <w:rsid w:val="00C05AD5"/>
    <w:rsid w:val="00C07B4F"/>
    <w:rsid w:val="00C11488"/>
    <w:rsid w:val="00C11D0A"/>
    <w:rsid w:val="00C15CEC"/>
    <w:rsid w:val="00C17F78"/>
    <w:rsid w:val="00C21A2D"/>
    <w:rsid w:val="00C21D6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A7AFB"/>
    <w:rsid w:val="00CB2BF0"/>
    <w:rsid w:val="00CB43EE"/>
    <w:rsid w:val="00CB49AE"/>
    <w:rsid w:val="00CB6D0A"/>
    <w:rsid w:val="00CD67D1"/>
    <w:rsid w:val="00CE10FE"/>
    <w:rsid w:val="00CE5516"/>
    <w:rsid w:val="00CE7B96"/>
    <w:rsid w:val="00CF55CD"/>
    <w:rsid w:val="00D00671"/>
    <w:rsid w:val="00D01803"/>
    <w:rsid w:val="00D026A3"/>
    <w:rsid w:val="00D07D23"/>
    <w:rsid w:val="00D12839"/>
    <w:rsid w:val="00D239F5"/>
    <w:rsid w:val="00D316A9"/>
    <w:rsid w:val="00D346A1"/>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17B4"/>
    <w:rsid w:val="00E93C2E"/>
    <w:rsid w:val="00E942BE"/>
    <w:rsid w:val="00EA1B3C"/>
    <w:rsid w:val="00EA294A"/>
    <w:rsid w:val="00EA6C91"/>
    <w:rsid w:val="00EB1AB1"/>
    <w:rsid w:val="00EB44FA"/>
    <w:rsid w:val="00EB4814"/>
    <w:rsid w:val="00EC4F5A"/>
    <w:rsid w:val="00EC51EA"/>
    <w:rsid w:val="00EC5C99"/>
    <w:rsid w:val="00EC70C7"/>
    <w:rsid w:val="00EC746B"/>
    <w:rsid w:val="00ED33CE"/>
    <w:rsid w:val="00ED5213"/>
    <w:rsid w:val="00EE2F06"/>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4740"/>
    <w:rsid w:val="00F26DB8"/>
    <w:rsid w:val="00F26E51"/>
    <w:rsid w:val="00F3305C"/>
    <w:rsid w:val="00F43DD9"/>
    <w:rsid w:val="00F45883"/>
    <w:rsid w:val="00F504A2"/>
    <w:rsid w:val="00F531C8"/>
    <w:rsid w:val="00F538C4"/>
    <w:rsid w:val="00F56623"/>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 w:type="paragraph" w:customStyle="1" w:styleId="Normlny11">
    <w:name w:val="Normálny11"/>
    <w:rsid w:val="00E9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22734</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2024-08-01T10:05:00Z</dcterms:created>
  <dcterms:modified xsi:type="dcterms:W3CDTF">2026-01-21T12:31:00Z</dcterms:modified>
  <cp:contentStatus/>
</cp:coreProperties>
</file>